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F90B38" w14:textId="77777777" w:rsidR="00F85DFD" w:rsidRPr="0044090D" w:rsidRDefault="00AA35B3" w:rsidP="003204AA">
      <w:pPr>
        <w:pStyle w:val="MBT"/>
        <w:rPr>
          <w:rFonts w:eastAsia="Calibri"/>
          <w:lang w:val="en-GB"/>
        </w:rPr>
        <w:sectPr w:rsidR="00F85DFD" w:rsidRPr="0044090D">
          <w:footerReference w:type="first" r:id="rId8"/>
          <w:type w:val="continuous"/>
          <w:pgSz w:w="11906" w:h="16838" w:code="9"/>
          <w:pgMar w:top="720" w:right="720" w:bottom="720" w:left="720" w:header="709" w:footer="709" w:gutter="0"/>
          <w:cols w:space="708"/>
          <w:docGrid w:linePitch="360"/>
        </w:sectPr>
      </w:pPr>
      <w:r>
        <w:rPr>
          <w:rFonts w:eastAsia="Calibri"/>
          <w:noProof/>
          <w:lang w:val="en-GB" w:eastAsia="en-GB"/>
        </w:rPr>
        <mc:AlternateContent>
          <mc:Choice Requires="wpg">
            <w:drawing>
              <wp:anchor distT="0" distB="0" distL="114300" distR="114300" simplePos="0" relativeHeight="251665920" behindDoc="0" locked="0" layoutInCell="1" allowOverlap="1" wp14:anchorId="0FDC511A" wp14:editId="12201C07">
                <wp:simplePos x="0" y="0"/>
                <wp:positionH relativeFrom="column">
                  <wp:posOffset>800100</wp:posOffset>
                </wp:positionH>
                <wp:positionV relativeFrom="paragraph">
                  <wp:posOffset>0</wp:posOffset>
                </wp:positionV>
                <wp:extent cx="6144260" cy="4363085"/>
                <wp:effectExtent l="0" t="0" r="27940" b="571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44260" cy="4363085"/>
                          <a:chOff x="-824616" y="0"/>
                          <a:chExt cx="6144039" cy="4363299"/>
                        </a:xfrm>
                      </wpg:grpSpPr>
                      <wps:wsp>
                        <wps:cNvPr id="18" name="Straight Connector 5"/>
                        <wps:cNvCnPr>
                          <a:cxnSpLocks noChangeShapeType="1"/>
                        </wps:cNvCnPr>
                        <wps:spPr bwMode="auto">
                          <a:xfrm flipV="1">
                            <a:off x="5319423" y="39757"/>
                            <a:ext cx="0" cy="2825262"/>
                          </a:xfrm>
                          <a:prstGeom prst="line">
                            <a:avLst/>
                          </a:prstGeom>
                          <a:noFill/>
                          <a:ln w="38100" algn="ctr">
                            <a:solidFill>
                              <a:schemeClr val="tx2"/>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wps:wsp>
                        <wps:cNvPr id="19" name="Text Box 6"/>
                        <wps:cNvSpPr txBox="1">
                          <a:spLocks noChangeArrowheads="1"/>
                        </wps:cNvSpPr>
                        <wps:spPr bwMode="auto">
                          <a:xfrm>
                            <a:off x="-824616" y="0"/>
                            <a:ext cx="5881334" cy="2464758"/>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4B9219BF" w14:textId="77777777" w:rsidR="006C3500" w:rsidRPr="00590213" w:rsidRDefault="006C3500"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3EF2933F" w14:textId="77777777" w:rsidR="006C3500" w:rsidRPr="00B35152" w:rsidRDefault="006C3500" w:rsidP="00A57A4A">
                              <w:pPr>
                                <w:jc w:val="right"/>
                                <w:rPr>
                                  <w:rFonts w:ascii="Century Gothic" w:hAnsi="Century Gothic"/>
                                  <w:b/>
                                  <w:sz w:val="48"/>
                                  <w:szCs w:val="56"/>
                                  <w:lang w:val="en-GB"/>
                                </w:rPr>
                              </w:pPr>
                            </w:p>
                          </w:txbxContent>
                        </wps:txbx>
                        <wps:bodyPr rot="0" vert="horz" wrap="square" lIns="91440" tIns="45720" rIns="91440" bIns="45720" anchor="t" anchorCtr="0" upright="1">
                          <a:noAutofit/>
                        </wps:bodyPr>
                      </wps:wsp>
                      <wps:wsp>
                        <wps:cNvPr id="20" name="Text Box 7"/>
                        <wps:cNvSpPr txBox="1">
                          <a:spLocks noChangeArrowheads="1"/>
                        </wps:cNvSpPr>
                        <wps:spPr bwMode="auto">
                          <a:xfrm>
                            <a:off x="-824616" y="2464420"/>
                            <a:ext cx="5883794" cy="1088405"/>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0FAC116" w14:textId="77777777" w:rsidR="006C3500" w:rsidRPr="00590213" w:rsidRDefault="006C3500"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Malta</w:t>
                              </w:r>
                            </w:p>
                          </w:txbxContent>
                        </wps:txbx>
                        <wps:bodyPr rot="0" vert="horz" wrap="square" lIns="91440" tIns="45720" rIns="91440" bIns="45720" anchor="t" anchorCtr="0" upright="1">
                          <a:noAutofit/>
                        </wps:bodyPr>
                      </wps:wsp>
                      <wps:wsp>
                        <wps:cNvPr id="24" name="Text Box 7"/>
                        <wps:cNvSpPr txBox="1">
                          <a:spLocks noChangeArrowheads="1"/>
                        </wps:cNvSpPr>
                        <wps:spPr bwMode="auto">
                          <a:xfrm>
                            <a:off x="243177" y="3840729"/>
                            <a:ext cx="4884779" cy="522570"/>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2BEC1FD9" w14:textId="77777777" w:rsidR="006C3500" w:rsidRPr="00590213" w:rsidRDefault="006C3500" w:rsidP="00590213">
                              <w:pPr>
                                <w:jc w:val="right"/>
                                <w:rPr>
                                  <w:rFonts w:ascii="Century Gothic" w:hAnsi="Century Gothic"/>
                                  <w:i/>
                                  <w:lang w:val="en-GB"/>
                                </w:rPr>
                              </w:pPr>
                              <w:r w:rsidRPr="00590213">
                                <w:rPr>
                                  <w:rFonts w:ascii="Century Gothic" w:hAnsi="Century Gothic"/>
                                  <w:bCs/>
                                  <w:i/>
                                  <w:lang w:val="en-GB"/>
                                </w:rPr>
                                <w:t>JUST/2016/RCIT/FW/RIGH/0152 (2017/06)</w:t>
                              </w:r>
                            </w:p>
                            <w:p w14:paraId="1C8E9B4E" w14:textId="77777777" w:rsidR="006C3500" w:rsidRPr="00BB78FE" w:rsidRDefault="006C3500" w:rsidP="008652C9">
                              <w:pPr>
                                <w:jc w:val="right"/>
                                <w:rPr>
                                  <w:rFonts w:ascii="Century Gothic" w:hAnsi="Century Gothic"/>
                                  <w:i/>
                                  <w:lang w:val="en-GB"/>
                                </w:rPr>
                              </w:pP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FDC511A" id="Group 25" o:spid="_x0000_s1026" style="position:absolute;left:0;text-align:left;margin-left:63pt;margin-top:0;width:483.8pt;height:343.55pt;z-index:251665920;mso-width-relative:margin;mso-height-relative:margin" coordorigin="-8246" coordsize="61440,4363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">
                <v:line id="Straight Connector 5" o:spid="_x0000_s1027" style="position:absolute;flip:y;visibility:visible;mso-wrap-style:square" from="53194,397" to="53194,28650" o:connectortype="straight"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" strokecolor="#7ab800 [3215]" strokeweight="3pt"/>
                <v:shapetype id="_x0000_t202" coordsize="21600,21600" o:spt="202" path="m,l,21600r21600,l21600,xe">
                  <v:stroke joinstyle="miter"/>
                  <v:path gradientshapeok="t" o:connecttype="rect"/>
                </v:shapetype>
                <v:shape id="Text Box 6" o:spid="_x0000_s1028" type="#_x0000_t202" style="position:absolute;left:-8246;width:58813;height:246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" stroked="f">
                  <v:textbox>
                    <w:txbxContent>
                      <w:p w14:paraId="4B9219BF" w14:textId="77777777" w:rsidR="006C3500" w:rsidRPr="00590213" w:rsidRDefault="006C3500" w:rsidP="00590213">
                        <w:pPr>
                          <w:spacing w:after="160" w:line="259" w:lineRule="auto"/>
                          <w:jc w:val="right"/>
                          <w:rPr>
                            <w:rFonts w:ascii="Century Gothic" w:eastAsia="Calibri" w:hAnsi="Century Gothic"/>
                            <w:b/>
                            <w:sz w:val="52"/>
                            <w:szCs w:val="56"/>
                            <w:lang w:val="en-GB" w:eastAsia="en-US"/>
                          </w:rPr>
                        </w:pPr>
                        <w:r w:rsidRPr="00590213">
                          <w:rPr>
                            <w:rFonts w:ascii="Century Gothic" w:eastAsia="Calibri" w:hAnsi="Century Gothic"/>
                            <w:b/>
                            <w:bCs/>
                            <w:i/>
                            <w:sz w:val="52"/>
                            <w:szCs w:val="56"/>
                            <w:lang w:val="en-GB" w:eastAsia="en-US"/>
                          </w:rPr>
                          <w:t>Factual analysis of Member States Investors’ Schemes granting citizenship or residence to third-country nationals investing in the said Member State</w:t>
                        </w:r>
                      </w:p>
                      <w:p w14:paraId="3EF2933F" w14:textId="77777777" w:rsidR="006C3500" w:rsidRPr="00B35152" w:rsidRDefault="006C3500" w:rsidP="00A57A4A">
                        <w:pPr>
                          <w:jc w:val="right"/>
                          <w:rPr>
                            <w:rFonts w:ascii="Century Gothic" w:hAnsi="Century Gothic"/>
                            <w:b/>
                            <w:sz w:val="48"/>
                            <w:szCs w:val="56"/>
                            <w:lang w:val="en-GB"/>
                          </w:rPr>
                        </w:pPr>
                      </w:p>
                    </w:txbxContent>
                  </v:textbox>
                </v:shape>
                <v:shape id="Text Box 7" o:spid="_x0000_s1029" type="#_x0000_t202" style="position:absolute;left:-8246;top:24644;width:58837;height:108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" stroked="f">
                  <v:textbox>
                    <w:txbxContent>
                      <w:p w14:paraId="70FAC116" w14:textId="77777777" w:rsidR="006C3500" w:rsidRPr="00590213" w:rsidRDefault="006C3500" w:rsidP="00590213">
                        <w:pPr>
                          <w:jc w:val="right"/>
                          <w:rPr>
                            <w:rFonts w:ascii="Century Gothic" w:hAnsi="Century Gothic"/>
                            <w:b/>
                            <w:i/>
                            <w:sz w:val="48"/>
                            <w:szCs w:val="48"/>
                            <w:lang w:val="en-GB"/>
                          </w:rPr>
                        </w:pPr>
                        <w:r w:rsidRPr="00590213">
                          <w:rPr>
                            <w:rFonts w:ascii="Century Gothic" w:hAnsi="Century Gothic"/>
                            <w:b/>
                            <w:i/>
                            <w:sz w:val="48"/>
                            <w:szCs w:val="48"/>
                            <w:lang w:val="en-GB"/>
                          </w:rPr>
                          <w:t>Deliverable B.I Inv</w:t>
                        </w:r>
                        <w:r>
                          <w:rPr>
                            <w:rFonts w:ascii="Century Gothic" w:hAnsi="Century Gothic"/>
                            <w:b/>
                            <w:i/>
                            <w:sz w:val="48"/>
                            <w:szCs w:val="48"/>
                            <w:lang w:val="en-GB"/>
                          </w:rPr>
                          <w:t>estors’ Citizenship Schemes in Malta</w:t>
                        </w:r>
                      </w:p>
                    </w:txbxContent>
                  </v:textbox>
                </v:shape>
                <v:shape id="Text Box 7" o:spid="_x0000_s1030" type="#_x0000_t202" style="position:absolute;left:2431;top:38407;width:48848;height:522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" stroked="f">
                  <v:textbox>
                    <w:txbxContent>
                      <w:p w14:paraId="2BEC1FD9" w14:textId="77777777" w:rsidR="006C3500" w:rsidRPr="00590213" w:rsidRDefault="006C3500" w:rsidP="00590213">
                        <w:pPr>
                          <w:jc w:val="right"/>
                          <w:rPr>
                            <w:rFonts w:ascii="Century Gothic" w:hAnsi="Century Gothic"/>
                            <w:i/>
                            <w:lang w:val="en-GB"/>
                          </w:rPr>
                        </w:pPr>
                        <w:r w:rsidRPr="00590213">
                          <w:rPr>
                            <w:rFonts w:ascii="Century Gothic" w:hAnsi="Century Gothic"/>
                            <w:bCs/>
                            <w:i/>
                            <w:lang w:val="en-GB"/>
                          </w:rPr>
                          <w:t>JUST/2016/RCIT/FW/RIGH/0152 (2017/06)</w:t>
                        </w:r>
                      </w:p>
                      <w:p w14:paraId="1C8E9B4E" w14:textId="77777777" w:rsidR="006C3500" w:rsidRPr="00BB78FE" w:rsidRDefault="006C3500" w:rsidP="008652C9">
                        <w:pPr>
                          <w:jc w:val="right"/>
                          <w:rPr>
                            <w:rFonts w:ascii="Century Gothic" w:hAnsi="Century Gothic"/>
                            <w:i/>
                            <w:lang w:val="en-GB"/>
                          </w:rPr>
                        </w:pPr>
                      </w:p>
                    </w:txbxContent>
                  </v:textbox>
                </v:shape>
              </v:group>
            </w:pict>
          </mc:Fallback>
        </mc:AlternateContent>
      </w:r>
      <w:r w:rsidR="006366BB" w:rsidRPr="0044090D">
        <w:rPr>
          <w:rFonts w:eastAsia="Calibri"/>
          <w:noProof/>
          <w:lang w:val="en-GB" w:eastAsia="en-GB"/>
        </w:rPr>
        <w:drawing>
          <wp:anchor distT="0" distB="0" distL="114300" distR="114300" simplePos="0" relativeHeight="251656704" behindDoc="0" locked="1" layoutInCell="1" allowOverlap="1" wp14:anchorId="74DFFA41" wp14:editId="4F9074EA">
            <wp:simplePos x="0" y="0"/>
            <wp:positionH relativeFrom="column">
              <wp:posOffset>5307330</wp:posOffset>
            </wp:positionH>
            <wp:positionV relativeFrom="page">
              <wp:posOffset>8688070</wp:posOffset>
            </wp:positionV>
            <wp:extent cx="1486800" cy="1483200"/>
            <wp:effectExtent l="19050" t="19050" r="18415" b="22225"/>
            <wp:wrapNone/>
            <wp:docPr id="14" name="Picture 0" descr="LAST-LOGO- with law-policy-in-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AST-LOGO- with law-policy-in-whit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86800" cy="1483200"/>
                    </a:xfrm>
                    <a:prstGeom prst="rect">
                      <a:avLst/>
                    </a:prstGeom>
                    <a:noFill/>
                    <a:ln w="6350">
                      <a:solidFill>
                        <a:srgbClr val="0D0D0D"/>
                      </a:solidFill>
                      <a:miter lim="800000"/>
                      <a:headEnd/>
                      <a:tailEnd/>
                    </a:ln>
                  </pic:spPr>
                </pic:pic>
              </a:graphicData>
            </a:graphic>
          </wp:anchor>
        </w:drawing>
      </w:r>
      <w:r>
        <w:rPr>
          <w:rFonts w:eastAsia="Calibri"/>
          <w:noProof/>
          <w:lang w:val="en-GB" w:eastAsia="en-GB"/>
        </w:rPr>
        <mc:AlternateContent>
          <mc:Choice Requires="wps">
            <w:drawing>
              <wp:anchor distT="0" distB="0" distL="114300" distR="114300" simplePos="0" relativeHeight="251655680" behindDoc="0" locked="1" layoutInCell="1" allowOverlap="1" wp14:anchorId="73E22506" wp14:editId="45B34639">
                <wp:simplePos x="0" y="0"/>
                <wp:positionH relativeFrom="column">
                  <wp:posOffset>-151765</wp:posOffset>
                </wp:positionH>
                <wp:positionV relativeFrom="page">
                  <wp:posOffset>9829165</wp:posOffset>
                </wp:positionV>
                <wp:extent cx="1485900" cy="465455"/>
                <wp:effectExtent l="0" t="0" r="12700" b="1270"/>
                <wp:wrapNone/>
                <wp:docPr id="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65455"/>
                        </a:xfrm>
                        <a:prstGeom prst="rect">
                          <a:avLst/>
                        </a:prstGeom>
                        <a:solidFill>
                          <a:srgbClr val="FFFFFF"/>
                        </a:solidFill>
                        <a:ln>
                          <a:noFill/>
                        </a:ln>
                        <a:extLs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6D205036" w14:textId="60DD8D63" w:rsidR="006C3500" w:rsidRPr="005035C1" w:rsidRDefault="006C3500" w:rsidP="00F85DFD">
                            <w:pPr>
                              <w:ind w:right="-126"/>
                              <w:rPr>
                                <w:rFonts w:ascii="Century Gothic" w:hAnsi="Century Gothic" w:cs="Arial"/>
                                <w:lang w:val="en-US"/>
                              </w:rPr>
                            </w:pPr>
                            <w:r>
                              <w:rPr>
                                <w:rFonts w:ascii="Century Gothic" w:hAnsi="Century Gothic" w:cs="Arial"/>
                                <w:lang w:val="en-US"/>
                              </w:rPr>
                              <w:t>March 2018</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3E22506" id="Text Box 13" o:spid="_x0000_s1031" type="#_x0000_t202" style="position:absolute;left:0;text-align:left;margin-left:-11.95pt;margin-top:773.95pt;width:117pt;height:36.65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" stroked="f">
                <v:textbox style="mso-fit-shape-to-text:t">
                  <w:txbxContent>
                    <w:p w14:paraId="6D205036" w14:textId="60DD8D63" w:rsidR="006C3500" w:rsidRPr="005035C1" w:rsidRDefault="006C3500" w:rsidP="00F85DFD">
                      <w:pPr>
                        <w:ind w:right="-126"/>
                        <w:rPr>
                          <w:rFonts w:ascii="Century Gothic" w:hAnsi="Century Gothic" w:cs="Arial"/>
                          <w:lang w:val="en-US"/>
                        </w:rPr>
                      </w:pPr>
                      <w:r>
                        <w:rPr>
                          <w:rFonts w:ascii="Century Gothic" w:hAnsi="Century Gothic" w:cs="Arial"/>
                          <w:lang w:val="en-US"/>
                        </w:rPr>
                        <w:t>March 2018</w:t>
                      </w:r>
                    </w:p>
                  </w:txbxContent>
                </v:textbox>
                <w10:wrap anchory="page"/>
                <w10:anchorlock/>
              </v:shape>
            </w:pict>
          </mc:Fallback>
        </mc:AlternateContent>
      </w:r>
    </w:p>
    <w:p w14:paraId="00302489" w14:textId="77777777" w:rsidR="008934CD" w:rsidRPr="0044090D" w:rsidRDefault="00B12297" w:rsidP="001F14FD">
      <w:pPr>
        <w:rPr>
          <w:b/>
          <w:u w:val="single"/>
          <w:lang w:val="en-GB"/>
        </w:rPr>
      </w:pPr>
      <w:r w:rsidRPr="0044090D">
        <w:rPr>
          <w:noProof/>
          <w:sz w:val="22"/>
          <w:lang w:val="en-GB" w:eastAsia="en-GB"/>
        </w:rPr>
        <w:drawing>
          <wp:anchor distT="0" distB="0" distL="114300" distR="114300" simplePos="0" relativeHeight="251654655" behindDoc="1" locked="0" layoutInCell="1" allowOverlap="1" wp14:anchorId="0999DA0B" wp14:editId="6E4E8999">
            <wp:simplePos x="0" y="0"/>
            <wp:positionH relativeFrom="column">
              <wp:posOffset>-546735</wp:posOffset>
            </wp:positionH>
            <wp:positionV relativeFrom="paragraph">
              <wp:posOffset>3392170</wp:posOffset>
            </wp:positionV>
            <wp:extent cx="6894830" cy="5224780"/>
            <wp:effectExtent l="0" t="0" r="1270" b="0"/>
            <wp:wrapTight wrapText="bothSides">
              <wp:wrapPolygon edited="0">
                <wp:start x="0" y="0"/>
                <wp:lineTo x="0" y="21500"/>
                <wp:lineTo x="21544" y="21500"/>
                <wp:lineTo x="21544"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894830" cy="5224780"/>
                    </a:xfrm>
                    <a:prstGeom prst="rect">
                      <a:avLst/>
                    </a:prstGeom>
                    <a:noFill/>
                  </pic:spPr>
                </pic:pic>
              </a:graphicData>
            </a:graphic>
          </wp:anchor>
        </w:drawing>
      </w:r>
    </w:p>
    <w:p w14:paraId="51F6504B" w14:textId="77777777" w:rsidR="00920899" w:rsidRPr="0044090D" w:rsidRDefault="00920899" w:rsidP="009F4BC9">
      <w:pPr>
        <w:pStyle w:val="BlockText"/>
        <w:rPr>
          <w:sz w:val="22"/>
          <w:lang w:val="en-GB"/>
        </w:rPr>
        <w:sectPr w:rsidR="00920899" w:rsidRPr="0044090D">
          <w:type w:val="continuous"/>
          <w:pgSz w:w="11906" w:h="16838" w:code="9"/>
          <w:pgMar w:top="1418" w:right="1418" w:bottom="1418" w:left="1418" w:header="709" w:footer="709" w:gutter="0"/>
          <w:cols w:space="708"/>
          <w:docGrid w:linePitch="360"/>
        </w:sectPr>
      </w:pPr>
    </w:p>
    <w:tbl>
      <w:tblPr>
        <w:tblpPr w:leftFromText="180" w:rightFromText="180" w:vertAnchor="text" w:horzAnchor="margin" w:tblpY="10202"/>
        <w:tblW w:w="0" w:type="auto"/>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CellMar>
          <w:left w:w="0" w:type="dxa"/>
          <w:right w:w="0" w:type="dxa"/>
        </w:tblCellMar>
        <w:tblLook w:val="04A0" w:firstRow="1" w:lastRow="0" w:firstColumn="1" w:lastColumn="0" w:noHBand="0" w:noVBand="1"/>
      </w:tblPr>
      <w:tblGrid>
        <w:gridCol w:w="8996"/>
      </w:tblGrid>
      <w:tr w:rsidR="006703F9" w:rsidRPr="00340E44" w14:paraId="57EA88A5" w14:textId="77777777" w:rsidTr="006703F9">
        <w:tc>
          <w:tcPr>
            <w:tcW w:w="0" w:type="auto"/>
            <w:tcMar>
              <w:top w:w="0" w:type="dxa"/>
              <w:left w:w="108" w:type="dxa"/>
              <w:bottom w:w="0" w:type="dxa"/>
              <w:right w:w="108" w:type="dxa"/>
            </w:tcMar>
            <w:vAlign w:val="bottom"/>
            <w:hideMark/>
          </w:tcPr>
          <w:p w14:paraId="303927C9" w14:textId="77777777" w:rsidR="006703F9" w:rsidRPr="00EB46B5" w:rsidRDefault="006703F9" w:rsidP="006703F9">
            <w:pPr>
              <w:pStyle w:val="xmsonormal"/>
              <w:widowControl w:val="0"/>
              <w:ind w:left="340" w:right="340"/>
              <w:jc w:val="both"/>
              <w:rPr>
                <w:sz w:val="22"/>
                <w:szCs w:val="18"/>
              </w:rPr>
            </w:pPr>
          </w:p>
          <w:p w14:paraId="1BB81CE5" w14:textId="77777777" w:rsidR="006703F9" w:rsidRPr="00EB46B5" w:rsidRDefault="006703F9" w:rsidP="006703F9">
            <w:pPr>
              <w:pStyle w:val="xmsonormal"/>
              <w:widowControl w:val="0"/>
              <w:ind w:left="340" w:right="340"/>
              <w:jc w:val="both"/>
              <w:rPr>
                <w:sz w:val="22"/>
                <w:szCs w:val="18"/>
              </w:rPr>
            </w:pPr>
            <w:r w:rsidRPr="00EB46B5">
              <w:rPr>
                <w:sz w:val="22"/>
                <w:szCs w:val="18"/>
              </w:rPr>
              <w:t xml:space="preserve">This Report has been prepared by </w:t>
            </w:r>
            <w:r>
              <w:rPr>
                <w:sz w:val="22"/>
                <w:szCs w:val="18"/>
              </w:rPr>
              <w:t xml:space="preserve">Emma Psaila and Jelena </w:t>
            </w:r>
            <w:proofErr w:type="spellStart"/>
            <w:r>
              <w:rPr>
                <w:sz w:val="22"/>
                <w:szCs w:val="18"/>
              </w:rPr>
              <w:t>Dzankic</w:t>
            </w:r>
            <w:proofErr w:type="spellEnd"/>
            <w:r w:rsidRPr="00EB46B5">
              <w:rPr>
                <w:sz w:val="22"/>
                <w:szCs w:val="18"/>
              </w:rPr>
              <w:t xml:space="preserve"> for Milieu Ltd under the contract JUST/2016/RCIT/FW/RIGH/0152 (2017/06). </w:t>
            </w:r>
          </w:p>
          <w:p w14:paraId="01392CA0" w14:textId="77777777" w:rsidR="006703F9" w:rsidRPr="00EB46B5" w:rsidRDefault="006703F9" w:rsidP="006703F9">
            <w:pPr>
              <w:pStyle w:val="xmsonormal"/>
              <w:widowControl w:val="0"/>
              <w:ind w:left="340" w:right="340"/>
              <w:jc w:val="both"/>
              <w:rPr>
                <w:sz w:val="22"/>
                <w:szCs w:val="18"/>
              </w:rPr>
            </w:pPr>
          </w:p>
          <w:p w14:paraId="0971A8C8" w14:textId="77777777" w:rsidR="006703F9" w:rsidRPr="00EB46B5" w:rsidRDefault="006703F9" w:rsidP="006703F9">
            <w:pPr>
              <w:pStyle w:val="xmsonormal"/>
              <w:widowControl w:val="0"/>
              <w:ind w:left="340" w:right="340"/>
              <w:jc w:val="both"/>
              <w:rPr>
                <w:sz w:val="22"/>
                <w:szCs w:val="18"/>
              </w:rPr>
            </w:pPr>
            <w:r w:rsidRPr="00EB46B5">
              <w:rPr>
                <w:sz w:val="22"/>
                <w:szCs w:val="18"/>
              </w:rPr>
              <w:t xml:space="preserve">The views expressed herein are those of the consultants alone and do not necessarily represent the official views of the European Commission. </w:t>
            </w:r>
          </w:p>
          <w:p w14:paraId="6864AC0A" w14:textId="77777777" w:rsidR="006703F9" w:rsidRPr="00EB46B5" w:rsidRDefault="006703F9" w:rsidP="006703F9">
            <w:pPr>
              <w:pStyle w:val="xmsonormal"/>
              <w:widowControl w:val="0"/>
              <w:ind w:right="340"/>
              <w:jc w:val="both"/>
              <w:rPr>
                <w:sz w:val="22"/>
                <w:szCs w:val="18"/>
              </w:rPr>
            </w:pPr>
          </w:p>
          <w:p w14:paraId="7928E77D" w14:textId="77777777" w:rsidR="006703F9" w:rsidRPr="00862915" w:rsidRDefault="006703F9" w:rsidP="006703F9">
            <w:pPr>
              <w:pStyle w:val="xmsonormal"/>
              <w:widowControl w:val="0"/>
              <w:ind w:left="340" w:right="340"/>
              <w:jc w:val="both"/>
              <w:rPr>
                <w:sz w:val="22"/>
                <w:szCs w:val="18"/>
              </w:rPr>
            </w:pPr>
            <w:r w:rsidRPr="00862915">
              <w:rPr>
                <w:b/>
                <w:bCs/>
                <w:sz w:val="22"/>
                <w:szCs w:val="18"/>
              </w:rPr>
              <w:t>Milieu Ltd</w:t>
            </w:r>
            <w:r w:rsidRPr="00862915">
              <w:rPr>
                <w:sz w:val="22"/>
                <w:szCs w:val="18"/>
              </w:rPr>
              <w:t xml:space="preserve"> (Belgium), </w:t>
            </w:r>
            <w:proofErr w:type="spellStart"/>
            <w:r w:rsidRPr="00862915">
              <w:rPr>
                <w:sz w:val="22"/>
                <w:szCs w:val="18"/>
              </w:rPr>
              <w:t>Chaussée</w:t>
            </w:r>
            <w:proofErr w:type="spellEnd"/>
            <w:r w:rsidRPr="00862915">
              <w:rPr>
                <w:sz w:val="22"/>
                <w:szCs w:val="18"/>
              </w:rPr>
              <w:t xml:space="preserve"> de Charleroi 112, B-1060 Brussels, tel.: +32 2 506 1000; e-mail: </w:t>
            </w:r>
            <w:hyperlink r:id="rId11" w:history="1">
              <w:r w:rsidRPr="00862915">
                <w:rPr>
                  <w:rStyle w:val="Hyperlink"/>
                  <w:sz w:val="22"/>
                  <w:szCs w:val="18"/>
                </w:rPr>
                <w:t>emma.psaila@milieu.be</w:t>
              </w:r>
            </w:hyperlink>
            <w:r w:rsidRPr="00862915">
              <w:rPr>
                <w:sz w:val="22"/>
                <w:szCs w:val="18"/>
              </w:rPr>
              <w:t xml:space="preserve">; </w:t>
            </w:r>
            <w:hyperlink r:id="rId12" w:history="1">
              <w:r w:rsidRPr="00862915">
                <w:rPr>
                  <w:rStyle w:val="Hyperlink"/>
                  <w:sz w:val="22"/>
                  <w:szCs w:val="18"/>
                </w:rPr>
                <w:t>ana.gomez@milieu.be</w:t>
              </w:r>
            </w:hyperlink>
            <w:r w:rsidRPr="00862915">
              <w:rPr>
                <w:sz w:val="22"/>
                <w:szCs w:val="18"/>
              </w:rPr>
              <w:t xml:space="preserve"> and </w:t>
            </w:r>
            <w:hyperlink r:id="rId13" w:history="1">
              <w:r w:rsidRPr="00862915">
                <w:rPr>
                  <w:rStyle w:val="Hyperlink"/>
                  <w:sz w:val="22"/>
                  <w:szCs w:val="18"/>
                </w:rPr>
                <w:t>vanessa.leigh@milieu.be</w:t>
              </w:r>
            </w:hyperlink>
            <w:r w:rsidRPr="00862915">
              <w:rPr>
                <w:sz w:val="22"/>
                <w:szCs w:val="18"/>
              </w:rPr>
              <w:t xml:space="preserve">; web address: </w:t>
            </w:r>
            <w:hyperlink r:id="rId14" w:history="1">
              <w:r w:rsidRPr="00862915">
                <w:rPr>
                  <w:rStyle w:val="Hyperlink"/>
                  <w:sz w:val="22"/>
                  <w:szCs w:val="18"/>
                </w:rPr>
                <w:t>www.milieu.be</w:t>
              </w:r>
            </w:hyperlink>
            <w:r w:rsidRPr="00862915">
              <w:rPr>
                <w:sz w:val="22"/>
                <w:szCs w:val="18"/>
              </w:rPr>
              <w:t xml:space="preserve">. </w:t>
            </w:r>
          </w:p>
          <w:p w14:paraId="3145A57D" w14:textId="77777777" w:rsidR="006703F9" w:rsidRPr="00862915" w:rsidRDefault="006703F9" w:rsidP="006703F9">
            <w:pPr>
              <w:pStyle w:val="xmsonormal"/>
              <w:widowControl w:val="0"/>
              <w:ind w:right="340"/>
              <w:rPr>
                <w:sz w:val="22"/>
                <w:szCs w:val="18"/>
              </w:rPr>
            </w:pPr>
          </w:p>
        </w:tc>
      </w:tr>
    </w:tbl>
    <w:p w14:paraId="717333BF" w14:textId="2B6DE396" w:rsidR="001F14FD" w:rsidRDefault="001F14FD" w:rsidP="001F14FD">
      <w:pPr>
        <w:rPr>
          <w:b/>
          <w:u w:val="single"/>
          <w:lang w:val="en-GB"/>
        </w:rPr>
      </w:pPr>
      <w:r w:rsidRPr="0044090D">
        <w:rPr>
          <w:b/>
          <w:u w:val="single"/>
          <w:lang w:val="en-GB"/>
        </w:rPr>
        <w:br w:type="page"/>
      </w:r>
    </w:p>
    <w:p w14:paraId="31C0A8A4" w14:textId="77777777" w:rsidR="006703F9" w:rsidRPr="0044090D" w:rsidRDefault="006703F9" w:rsidP="001F14FD">
      <w:pPr>
        <w:rPr>
          <w:b/>
          <w:i/>
          <w:sz w:val="22"/>
          <w:lang w:val="en-GB"/>
        </w:rPr>
      </w:pPr>
    </w:p>
    <w:tbl>
      <w:tblPr>
        <w:tblStyle w:val="TableGrid"/>
        <w:tblW w:w="5000" w:type="pct"/>
        <w:tblBorders>
          <w:top w:val="single" w:sz="12" w:space="0" w:color="A5A5A5" w:themeColor="background2"/>
          <w:left w:val="single" w:sz="12" w:space="0" w:color="A5A5A5" w:themeColor="background2"/>
          <w:bottom w:val="single" w:sz="12" w:space="0" w:color="A5A5A5" w:themeColor="background2"/>
          <w:right w:val="single" w:sz="12" w:space="0" w:color="A5A5A5" w:themeColor="background2"/>
          <w:insideH w:val="none" w:sz="0" w:space="0" w:color="auto"/>
          <w:insideV w:val="none" w:sz="0" w:space="0" w:color="auto"/>
        </w:tblBorders>
        <w:tblCellMar>
          <w:top w:w="57" w:type="dxa"/>
          <w:bottom w:w="57" w:type="dxa"/>
        </w:tblCellMar>
        <w:tblLook w:val="04A0" w:firstRow="1" w:lastRow="0" w:firstColumn="1" w:lastColumn="0" w:noHBand="0" w:noVBand="1"/>
      </w:tblPr>
      <w:tblGrid>
        <w:gridCol w:w="8996"/>
      </w:tblGrid>
      <w:tr w:rsidR="00F64DD1" w:rsidRPr="00340E44" w14:paraId="532749EA" w14:textId="77777777">
        <w:tc>
          <w:tcPr>
            <w:tcW w:w="5000" w:type="pct"/>
            <w:shd w:val="clear" w:color="auto" w:fill="auto"/>
            <w:vAlign w:val="center"/>
          </w:tcPr>
          <w:p w14:paraId="6B952131" w14:textId="77777777" w:rsidR="00F64DD1" w:rsidRPr="0044090D" w:rsidRDefault="00F53B5D" w:rsidP="00F97EDE">
            <w:pPr>
              <w:ind w:right="-126"/>
              <w:jc w:val="center"/>
              <w:rPr>
                <w:rFonts w:ascii="Century Gothic" w:hAnsi="Century Gothic" w:cs="Arial"/>
                <w:b/>
                <w:i/>
                <w:color w:val="7AB800" w:themeColor="text2"/>
                <w:sz w:val="28"/>
                <w:szCs w:val="28"/>
                <w:lang w:val="en-GB"/>
              </w:rPr>
            </w:pPr>
            <w:r w:rsidRPr="0044090D">
              <w:rPr>
                <w:rFonts w:ascii="Century Gothic" w:hAnsi="Century Gothic" w:cs="Arial"/>
                <w:b/>
                <w:i/>
                <w:color w:val="4F81BD" w:themeColor="accent1"/>
                <w:sz w:val="28"/>
                <w:szCs w:val="28"/>
                <w:lang w:val="en-GB"/>
              </w:rPr>
              <w:t>Factual analysis of Member States Investors’ Schemes granting citizenship or residence to third-country nationals investing in the said Member State</w:t>
            </w:r>
          </w:p>
        </w:tc>
      </w:tr>
    </w:tbl>
    <w:p w14:paraId="254B6C41" w14:textId="77777777" w:rsidR="001F14FD" w:rsidRPr="0044090D" w:rsidRDefault="001F14FD" w:rsidP="001F14FD">
      <w:pPr>
        <w:rPr>
          <w:b/>
          <w:sz w:val="22"/>
          <w:szCs w:val="22"/>
          <w:lang w:val="en-GB"/>
        </w:rPr>
      </w:pPr>
    </w:p>
    <w:p w14:paraId="5984AFB6" w14:textId="77777777" w:rsidR="00F90C45" w:rsidRPr="0044090D" w:rsidRDefault="00F90C45" w:rsidP="001F14FD">
      <w:pPr>
        <w:rPr>
          <w:b/>
          <w:sz w:val="22"/>
          <w:szCs w:val="22"/>
          <w:lang w:val="en-GB"/>
        </w:rPr>
      </w:pPr>
    </w:p>
    <w:p w14:paraId="5255B880" w14:textId="77777777" w:rsidR="00E82864" w:rsidRPr="0044090D" w:rsidRDefault="00F90C45" w:rsidP="001F14FD">
      <w:pPr>
        <w:rPr>
          <w:rFonts w:ascii="Century Gothic" w:hAnsi="Century Gothic"/>
          <w:b/>
          <w:sz w:val="22"/>
          <w:szCs w:val="22"/>
          <w:lang w:val="en-GB"/>
        </w:rPr>
      </w:pPr>
      <w:r w:rsidRPr="0044090D">
        <w:rPr>
          <w:rFonts w:ascii="Century Gothic" w:hAnsi="Century Gothic"/>
          <w:b/>
          <w:sz w:val="22"/>
          <w:szCs w:val="22"/>
          <w:lang w:val="en-GB"/>
        </w:rPr>
        <w:t>TABLE OF CONTENTS</w:t>
      </w:r>
    </w:p>
    <w:p w14:paraId="3D93E91B" w14:textId="77777777" w:rsidR="00F90C45" w:rsidRPr="0044090D" w:rsidRDefault="00F90C45" w:rsidP="001F14FD">
      <w:pPr>
        <w:rPr>
          <w:rFonts w:ascii="Century Gothic" w:hAnsi="Century Gothic"/>
          <w:b/>
          <w:sz w:val="22"/>
          <w:szCs w:val="22"/>
          <w:lang w:val="en-GB"/>
        </w:rPr>
      </w:pPr>
      <w:bookmarkStart w:id="0" w:name="_GoBack"/>
      <w:bookmarkEnd w:id="0"/>
    </w:p>
    <w:p w14:paraId="6E628C25" w14:textId="77777777" w:rsidR="00F90C45" w:rsidRPr="0044090D" w:rsidRDefault="00F90C45" w:rsidP="001F14FD">
      <w:pPr>
        <w:rPr>
          <w:rFonts w:ascii="Century Gothic" w:hAnsi="Century Gothic"/>
          <w:b/>
          <w:sz w:val="22"/>
          <w:szCs w:val="22"/>
          <w:lang w:val="en-GB"/>
        </w:rPr>
      </w:pPr>
    </w:p>
    <w:sdt>
      <w:sdtPr>
        <w:rPr>
          <w:rFonts w:ascii="Times New Roman" w:hAnsi="Times New Roman"/>
          <w:b w:val="0"/>
          <w:bCs w:val="0"/>
          <w:caps w:val="0"/>
          <w:noProof w:val="0"/>
          <w:sz w:val="24"/>
          <w:szCs w:val="24"/>
          <w:lang w:val="en-GB"/>
        </w:rPr>
        <w:id w:val="454527142"/>
        <w:docPartObj>
          <w:docPartGallery w:val="Table of Contents"/>
          <w:docPartUnique/>
        </w:docPartObj>
      </w:sdtPr>
      <w:sdtEndPr/>
      <w:sdtContent>
        <w:p w14:paraId="284C33F4" w14:textId="333C13E9" w:rsidR="00340E44" w:rsidRDefault="00FC6E29">
          <w:pPr>
            <w:pStyle w:val="TOC1"/>
            <w:rPr>
              <w:rFonts w:asciiTheme="minorHAnsi" w:eastAsiaTheme="minorEastAsia" w:hAnsiTheme="minorHAnsi" w:cstheme="minorBidi"/>
              <w:b w:val="0"/>
              <w:bCs w:val="0"/>
              <w:caps w:val="0"/>
              <w:sz w:val="24"/>
              <w:szCs w:val="24"/>
              <w:lang w:val="en-US" w:eastAsia="en-US"/>
            </w:rPr>
          </w:pPr>
          <w:r w:rsidRPr="0044090D">
            <w:rPr>
              <w:noProof w:val="0"/>
              <w:lang w:val="en-GB"/>
            </w:rPr>
            <w:fldChar w:fldCharType="begin"/>
          </w:r>
          <w:r w:rsidR="00F90C45" w:rsidRPr="0044090D">
            <w:rPr>
              <w:noProof w:val="0"/>
              <w:lang w:val="en-GB"/>
            </w:rPr>
            <w:instrText xml:space="preserve"> TOC \o "1-3" \h \z \u </w:instrText>
          </w:r>
          <w:r w:rsidRPr="0044090D">
            <w:rPr>
              <w:noProof w:val="0"/>
              <w:lang w:val="en-GB"/>
            </w:rPr>
            <w:fldChar w:fldCharType="separate"/>
          </w:r>
          <w:hyperlink w:anchor="_Toc517766161" w:history="1">
            <w:r w:rsidR="00340E44" w:rsidRPr="00133238">
              <w:rPr>
                <w:rStyle w:val="Hyperlink"/>
              </w:rPr>
              <w:t>I.</w:t>
            </w:r>
            <w:r w:rsidR="00340E44">
              <w:rPr>
                <w:rFonts w:asciiTheme="minorHAnsi" w:eastAsiaTheme="minorEastAsia" w:hAnsiTheme="minorHAnsi" w:cstheme="minorBidi"/>
                <w:b w:val="0"/>
                <w:bCs w:val="0"/>
                <w:caps w:val="0"/>
                <w:sz w:val="24"/>
                <w:szCs w:val="24"/>
                <w:lang w:val="en-US" w:eastAsia="en-US"/>
              </w:rPr>
              <w:tab/>
            </w:r>
            <w:r w:rsidR="00340E44" w:rsidRPr="00133238">
              <w:rPr>
                <w:rStyle w:val="Hyperlink"/>
              </w:rPr>
              <w:t>GENERAL BACKGROUND</w:t>
            </w:r>
            <w:r w:rsidR="00340E44">
              <w:rPr>
                <w:webHidden/>
              </w:rPr>
              <w:tab/>
            </w:r>
            <w:r w:rsidR="00340E44">
              <w:rPr>
                <w:webHidden/>
              </w:rPr>
              <w:fldChar w:fldCharType="begin"/>
            </w:r>
            <w:r w:rsidR="00340E44">
              <w:rPr>
                <w:webHidden/>
              </w:rPr>
              <w:instrText xml:space="preserve"> PAGEREF _Toc517766161 \h </w:instrText>
            </w:r>
            <w:r w:rsidR="00340E44">
              <w:rPr>
                <w:webHidden/>
              </w:rPr>
            </w:r>
            <w:r w:rsidR="00340E44">
              <w:rPr>
                <w:webHidden/>
              </w:rPr>
              <w:fldChar w:fldCharType="separate"/>
            </w:r>
            <w:r w:rsidR="00340E44">
              <w:rPr>
                <w:webHidden/>
              </w:rPr>
              <w:t>4</w:t>
            </w:r>
            <w:r w:rsidR="00340E44">
              <w:rPr>
                <w:webHidden/>
              </w:rPr>
              <w:fldChar w:fldCharType="end"/>
            </w:r>
          </w:hyperlink>
        </w:p>
        <w:p w14:paraId="0E71F12F" w14:textId="0441C803" w:rsidR="00340E44" w:rsidRDefault="00340E44">
          <w:pPr>
            <w:pStyle w:val="TOC1"/>
            <w:rPr>
              <w:rFonts w:asciiTheme="minorHAnsi" w:eastAsiaTheme="minorEastAsia" w:hAnsiTheme="minorHAnsi" w:cstheme="minorBidi"/>
              <w:b w:val="0"/>
              <w:bCs w:val="0"/>
              <w:caps w:val="0"/>
              <w:sz w:val="24"/>
              <w:szCs w:val="24"/>
              <w:lang w:val="en-US" w:eastAsia="en-US"/>
            </w:rPr>
          </w:pPr>
          <w:hyperlink w:anchor="_Toc517766162" w:history="1">
            <w:r w:rsidRPr="00133238">
              <w:rPr>
                <w:rStyle w:val="Hyperlink"/>
              </w:rPr>
              <w:t>II.</w:t>
            </w:r>
            <w:r>
              <w:rPr>
                <w:rFonts w:asciiTheme="minorHAnsi" w:eastAsiaTheme="minorEastAsia" w:hAnsiTheme="minorHAnsi" w:cstheme="minorBidi"/>
                <w:b w:val="0"/>
                <w:bCs w:val="0"/>
                <w:caps w:val="0"/>
                <w:sz w:val="24"/>
                <w:szCs w:val="24"/>
                <w:lang w:val="en-US" w:eastAsia="en-US"/>
              </w:rPr>
              <w:tab/>
            </w:r>
            <w:r w:rsidRPr="00133238">
              <w:rPr>
                <w:rStyle w:val="Hyperlink"/>
              </w:rPr>
              <w:t>PROCEDURES, COMPETENT AUTHORITIES AND APPLICABLE CRITERIA</w:t>
            </w:r>
            <w:r>
              <w:rPr>
                <w:webHidden/>
              </w:rPr>
              <w:tab/>
            </w:r>
            <w:r>
              <w:rPr>
                <w:webHidden/>
              </w:rPr>
              <w:fldChar w:fldCharType="begin"/>
            </w:r>
            <w:r>
              <w:rPr>
                <w:webHidden/>
              </w:rPr>
              <w:instrText xml:space="preserve"> PAGEREF _Toc517766162 \h </w:instrText>
            </w:r>
            <w:r>
              <w:rPr>
                <w:webHidden/>
              </w:rPr>
            </w:r>
            <w:r>
              <w:rPr>
                <w:webHidden/>
              </w:rPr>
              <w:fldChar w:fldCharType="separate"/>
            </w:r>
            <w:r>
              <w:rPr>
                <w:webHidden/>
              </w:rPr>
              <w:t>8</w:t>
            </w:r>
            <w:r>
              <w:rPr>
                <w:webHidden/>
              </w:rPr>
              <w:fldChar w:fldCharType="end"/>
            </w:r>
          </w:hyperlink>
        </w:p>
        <w:p w14:paraId="443E4DDF" w14:textId="071119B8" w:rsidR="00340E44" w:rsidRDefault="00340E44">
          <w:pPr>
            <w:pStyle w:val="TOC1"/>
            <w:rPr>
              <w:rFonts w:asciiTheme="minorHAnsi" w:eastAsiaTheme="minorEastAsia" w:hAnsiTheme="minorHAnsi" w:cstheme="minorBidi"/>
              <w:b w:val="0"/>
              <w:bCs w:val="0"/>
              <w:caps w:val="0"/>
              <w:sz w:val="24"/>
              <w:szCs w:val="24"/>
              <w:lang w:val="en-US" w:eastAsia="en-US"/>
            </w:rPr>
          </w:pPr>
          <w:hyperlink w:anchor="_Toc517766163" w:history="1">
            <w:r w:rsidRPr="00133238">
              <w:rPr>
                <w:rStyle w:val="Hyperlink"/>
              </w:rPr>
              <w:t>1</w:t>
            </w:r>
            <w:r>
              <w:rPr>
                <w:rFonts w:asciiTheme="minorHAnsi" w:eastAsiaTheme="minorEastAsia" w:hAnsiTheme="minorHAnsi" w:cstheme="minorBidi"/>
                <w:b w:val="0"/>
                <w:bCs w:val="0"/>
                <w:caps w:val="0"/>
                <w:sz w:val="24"/>
                <w:szCs w:val="24"/>
                <w:lang w:val="en-US" w:eastAsia="en-US"/>
              </w:rPr>
              <w:tab/>
            </w:r>
            <w:r w:rsidRPr="00133238">
              <w:rPr>
                <w:rStyle w:val="Hyperlink"/>
              </w:rPr>
              <w:t>Application Phase</w:t>
            </w:r>
            <w:r>
              <w:rPr>
                <w:webHidden/>
              </w:rPr>
              <w:tab/>
            </w:r>
            <w:r>
              <w:rPr>
                <w:webHidden/>
              </w:rPr>
              <w:fldChar w:fldCharType="begin"/>
            </w:r>
            <w:r>
              <w:rPr>
                <w:webHidden/>
              </w:rPr>
              <w:instrText xml:space="preserve"> PAGEREF _Toc517766163 \h </w:instrText>
            </w:r>
            <w:r>
              <w:rPr>
                <w:webHidden/>
              </w:rPr>
            </w:r>
            <w:r>
              <w:rPr>
                <w:webHidden/>
              </w:rPr>
              <w:fldChar w:fldCharType="separate"/>
            </w:r>
            <w:r>
              <w:rPr>
                <w:webHidden/>
              </w:rPr>
              <w:t>8</w:t>
            </w:r>
            <w:r>
              <w:rPr>
                <w:webHidden/>
              </w:rPr>
              <w:fldChar w:fldCharType="end"/>
            </w:r>
          </w:hyperlink>
        </w:p>
        <w:p w14:paraId="253E4DE3" w14:textId="50729956" w:rsidR="00340E44" w:rsidRDefault="00340E44">
          <w:pPr>
            <w:pStyle w:val="TOC1"/>
            <w:rPr>
              <w:rFonts w:asciiTheme="minorHAnsi" w:eastAsiaTheme="minorEastAsia" w:hAnsiTheme="minorHAnsi" w:cstheme="minorBidi"/>
              <w:b w:val="0"/>
              <w:bCs w:val="0"/>
              <w:caps w:val="0"/>
              <w:sz w:val="24"/>
              <w:szCs w:val="24"/>
              <w:lang w:val="en-US" w:eastAsia="en-US"/>
            </w:rPr>
          </w:pPr>
          <w:hyperlink w:anchor="_Toc517766164" w:history="1">
            <w:r w:rsidRPr="00133238">
              <w:rPr>
                <w:rStyle w:val="Hyperlink"/>
              </w:rPr>
              <w:t>2</w:t>
            </w:r>
            <w:r>
              <w:rPr>
                <w:rFonts w:asciiTheme="minorHAnsi" w:eastAsiaTheme="minorEastAsia" w:hAnsiTheme="minorHAnsi" w:cstheme="minorBidi"/>
                <w:b w:val="0"/>
                <w:bCs w:val="0"/>
                <w:caps w:val="0"/>
                <w:sz w:val="24"/>
                <w:szCs w:val="24"/>
                <w:lang w:val="en-US" w:eastAsia="en-US"/>
              </w:rPr>
              <w:tab/>
            </w:r>
            <w:r w:rsidRPr="00133238">
              <w:rPr>
                <w:rStyle w:val="Hyperlink"/>
              </w:rPr>
              <w:t>Applicable criteria and verification procedures</w:t>
            </w:r>
            <w:r>
              <w:rPr>
                <w:webHidden/>
              </w:rPr>
              <w:tab/>
            </w:r>
            <w:r>
              <w:rPr>
                <w:webHidden/>
              </w:rPr>
              <w:fldChar w:fldCharType="begin"/>
            </w:r>
            <w:r>
              <w:rPr>
                <w:webHidden/>
              </w:rPr>
              <w:instrText xml:space="preserve"> PAGEREF _Toc517766164 \h </w:instrText>
            </w:r>
            <w:r>
              <w:rPr>
                <w:webHidden/>
              </w:rPr>
            </w:r>
            <w:r>
              <w:rPr>
                <w:webHidden/>
              </w:rPr>
              <w:fldChar w:fldCharType="separate"/>
            </w:r>
            <w:r>
              <w:rPr>
                <w:webHidden/>
              </w:rPr>
              <w:t>18</w:t>
            </w:r>
            <w:r>
              <w:rPr>
                <w:webHidden/>
              </w:rPr>
              <w:fldChar w:fldCharType="end"/>
            </w:r>
          </w:hyperlink>
        </w:p>
        <w:p w14:paraId="623ECA31" w14:textId="016557E8" w:rsidR="00340E44" w:rsidRDefault="00340E44">
          <w:pPr>
            <w:pStyle w:val="TOC1"/>
            <w:rPr>
              <w:rFonts w:asciiTheme="minorHAnsi" w:eastAsiaTheme="minorEastAsia" w:hAnsiTheme="minorHAnsi" w:cstheme="minorBidi"/>
              <w:b w:val="0"/>
              <w:bCs w:val="0"/>
              <w:caps w:val="0"/>
              <w:sz w:val="24"/>
              <w:szCs w:val="24"/>
              <w:lang w:val="en-US" w:eastAsia="en-US"/>
            </w:rPr>
          </w:pPr>
          <w:hyperlink w:anchor="_Toc517766165" w:history="1">
            <w:r w:rsidRPr="00133238">
              <w:rPr>
                <w:rStyle w:val="Hyperlink"/>
              </w:rPr>
              <w:t>3</w:t>
            </w:r>
            <w:r>
              <w:rPr>
                <w:rFonts w:asciiTheme="minorHAnsi" w:eastAsiaTheme="minorEastAsia" w:hAnsiTheme="minorHAnsi" w:cstheme="minorBidi"/>
                <w:b w:val="0"/>
                <w:bCs w:val="0"/>
                <w:caps w:val="0"/>
                <w:sz w:val="24"/>
                <w:szCs w:val="24"/>
                <w:lang w:val="en-US" w:eastAsia="en-US"/>
              </w:rPr>
              <w:tab/>
            </w:r>
            <w:r w:rsidRPr="00133238">
              <w:rPr>
                <w:rStyle w:val="Hyperlink"/>
              </w:rPr>
              <w:t>Economic and financial efficiency of awarding citizenship to foreign investors</w:t>
            </w:r>
            <w:r>
              <w:rPr>
                <w:webHidden/>
              </w:rPr>
              <w:tab/>
            </w:r>
            <w:r>
              <w:rPr>
                <w:webHidden/>
              </w:rPr>
              <w:fldChar w:fldCharType="begin"/>
            </w:r>
            <w:r>
              <w:rPr>
                <w:webHidden/>
              </w:rPr>
              <w:instrText xml:space="preserve"> PAGEREF _Toc517766165 \h </w:instrText>
            </w:r>
            <w:r>
              <w:rPr>
                <w:webHidden/>
              </w:rPr>
            </w:r>
            <w:r>
              <w:rPr>
                <w:webHidden/>
              </w:rPr>
              <w:fldChar w:fldCharType="separate"/>
            </w:r>
            <w:r>
              <w:rPr>
                <w:webHidden/>
              </w:rPr>
              <w:t>27</w:t>
            </w:r>
            <w:r>
              <w:rPr>
                <w:webHidden/>
              </w:rPr>
              <w:fldChar w:fldCharType="end"/>
            </w:r>
          </w:hyperlink>
        </w:p>
        <w:p w14:paraId="1DDF93A4" w14:textId="480E1558" w:rsidR="00340E44" w:rsidRDefault="00340E44">
          <w:pPr>
            <w:pStyle w:val="TOC1"/>
            <w:rPr>
              <w:rFonts w:asciiTheme="minorHAnsi" w:eastAsiaTheme="minorEastAsia" w:hAnsiTheme="minorHAnsi" w:cstheme="minorBidi"/>
              <w:b w:val="0"/>
              <w:bCs w:val="0"/>
              <w:caps w:val="0"/>
              <w:sz w:val="24"/>
              <w:szCs w:val="24"/>
              <w:lang w:val="en-US" w:eastAsia="en-US"/>
            </w:rPr>
          </w:pPr>
          <w:hyperlink w:anchor="_Toc517766166" w:history="1">
            <w:r w:rsidRPr="00133238">
              <w:rPr>
                <w:rStyle w:val="Hyperlink"/>
              </w:rPr>
              <w:t>III.</w:t>
            </w:r>
            <w:r>
              <w:rPr>
                <w:rFonts w:asciiTheme="minorHAnsi" w:eastAsiaTheme="minorEastAsia" w:hAnsiTheme="minorHAnsi" w:cstheme="minorBidi"/>
                <w:b w:val="0"/>
                <w:bCs w:val="0"/>
                <w:caps w:val="0"/>
                <w:sz w:val="24"/>
                <w:szCs w:val="24"/>
                <w:lang w:val="en-US" w:eastAsia="en-US"/>
              </w:rPr>
              <w:tab/>
            </w:r>
            <w:r w:rsidRPr="00133238">
              <w:rPr>
                <w:rStyle w:val="Hyperlink"/>
              </w:rPr>
              <w:t>OTHER COMMENTS</w:t>
            </w:r>
            <w:r>
              <w:rPr>
                <w:webHidden/>
              </w:rPr>
              <w:tab/>
            </w:r>
            <w:r>
              <w:rPr>
                <w:webHidden/>
              </w:rPr>
              <w:fldChar w:fldCharType="begin"/>
            </w:r>
            <w:r>
              <w:rPr>
                <w:webHidden/>
              </w:rPr>
              <w:instrText xml:space="preserve"> PAGEREF _Toc517766166 \h </w:instrText>
            </w:r>
            <w:r>
              <w:rPr>
                <w:webHidden/>
              </w:rPr>
            </w:r>
            <w:r>
              <w:rPr>
                <w:webHidden/>
              </w:rPr>
              <w:fldChar w:fldCharType="separate"/>
            </w:r>
            <w:r>
              <w:rPr>
                <w:webHidden/>
              </w:rPr>
              <w:t>29</w:t>
            </w:r>
            <w:r>
              <w:rPr>
                <w:webHidden/>
              </w:rPr>
              <w:fldChar w:fldCharType="end"/>
            </w:r>
          </w:hyperlink>
        </w:p>
        <w:p w14:paraId="2A245B09" w14:textId="651D18C5" w:rsidR="00F90C45" w:rsidRPr="0044090D" w:rsidRDefault="00FC6E29">
          <w:pPr>
            <w:rPr>
              <w:lang w:val="en-GB"/>
            </w:rPr>
          </w:pPr>
          <w:r w:rsidRPr="0044090D">
            <w:rPr>
              <w:b/>
              <w:bCs/>
              <w:lang w:val="en-GB"/>
            </w:rPr>
            <w:fldChar w:fldCharType="end"/>
          </w:r>
        </w:p>
      </w:sdtContent>
    </w:sdt>
    <w:p w14:paraId="4FC534D8" w14:textId="77777777" w:rsidR="003F42A4" w:rsidRPr="0044090D" w:rsidRDefault="003F42A4" w:rsidP="001F14FD">
      <w:pPr>
        <w:rPr>
          <w:sz w:val="22"/>
          <w:lang w:val="en-GB"/>
        </w:rPr>
      </w:pPr>
    </w:p>
    <w:p w14:paraId="5B8934BC" w14:textId="77777777" w:rsidR="003F42A4" w:rsidRPr="0044090D" w:rsidRDefault="003F42A4" w:rsidP="001F14FD">
      <w:pPr>
        <w:rPr>
          <w:sz w:val="22"/>
          <w:lang w:val="en-GB"/>
        </w:rPr>
      </w:pPr>
    </w:p>
    <w:p w14:paraId="34A271A0" w14:textId="77777777" w:rsidR="00AC2EEB" w:rsidRDefault="00AC2EEB" w:rsidP="00AC2EEB">
      <w:pPr>
        <w:rPr>
          <w:lang w:val="en-GB"/>
        </w:rPr>
      </w:pPr>
    </w:p>
    <w:p w14:paraId="6E38C022" w14:textId="77777777" w:rsidR="006703F9" w:rsidRDefault="006703F9" w:rsidP="00AC2EEB">
      <w:pPr>
        <w:rPr>
          <w:lang w:val="en-GB"/>
        </w:rPr>
      </w:pPr>
    </w:p>
    <w:p w14:paraId="4F7CBDF4" w14:textId="77777777" w:rsidR="006703F9" w:rsidRDefault="006703F9" w:rsidP="00AC2EEB">
      <w:pPr>
        <w:rPr>
          <w:lang w:val="en-GB"/>
        </w:rPr>
      </w:pPr>
    </w:p>
    <w:p w14:paraId="53F7D67C" w14:textId="77777777" w:rsidR="006703F9" w:rsidRDefault="006703F9" w:rsidP="00AC2EEB">
      <w:pPr>
        <w:rPr>
          <w:lang w:val="en-GB"/>
        </w:rPr>
      </w:pPr>
    </w:p>
    <w:p w14:paraId="33B8ED27" w14:textId="77777777" w:rsidR="006703F9" w:rsidRDefault="006703F9" w:rsidP="00AC2EEB">
      <w:pPr>
        <w:rPr>
          <w:lang w:val="en-GB"/>
        </w:rPr>
      </w:pPr>
    </w:p>
    <w:p w14:paraId="29360E07" w14:textId="77777777" w:rsidR="006703F9" w:rsidRDefault="006703F9" w:rsidP="00AC2EEB">
      <w:pPr>
        <w:rPr>
          <w:lang w:val="en-GB"/>
        </w:rPr>
      </w:pPr>
    </w:p>
    <w:p w14:paraId="3180F666" w14:textId="77777777" w:rsidR="006703F9" w:rsidRDefault="006703F9" w:rsidP="00AC2EEB">
      <w:pPr>
        <w:rPr>
          <w:lang w:val="en-GB"/>
        </w:rPr>
      </w:pPr>
    </w:p>
    <w:p w14:paraId="402D1909" w14:textId="77777777" w:rsidR="006703F9" w:rsidRDefault="006703F9" w:rsidP="00AC2EEB">
      <w:pPr>
        <w:rPr>
          <w:lang w:val="en-GB"/>
        </w:rPr>
      </w:pPr>
    </w:p>
    <w:p w14:paraId="5FA6777B" w14:textId="77777777" w:rsidR="006703F9" w:rsidRDefault="006703F9" w:rsidP="00AC2EEB">
      <w:pPr>
        <w:rPr>
          <w:lang w:val="en-GB"/>
        </w:rPr>
      </w:pPr>
    </w:p>
    <w:p w14:paraId="668251E5" w14:textId="77777777" w:rsidR="006703F9" w:rsidRDefault="006703F9" w:rsidP="00AC2EEB">
      <w:pPr>
        <w:rPr>
          <w:lang w:val="en-GB"/>
        </w:rPr>
      </w:pPr>
    </w:p>
    <w:p w14:paraId="21D5C159" w14:textId="77777777" w:rsidR="006703F9" w:rsidRDefault="006703F9" w:rsidP="00AC2EEB">
      <w:pPr>
        <w:rPr>
          <w:lang w:val="en-GB"/>
        </w:rPr>
      </w:pPr>
    </w:p>
    <w:p w14:paraId="34D1F0A0" w14:textId="77777777" w:rsidR="006703F9" w:rsidRDefault="006703F9" w:rsidP="00AC2EEB">
      <w:pPr>
        <w:rPr>
          <w:lang w:val="en-GB"/>
        </w:rPr>
      </w:pPr>
    </w:p>
    <w:p w14:paraId="738E478F" w14:textId="77777777" w:rsidR="006703F9" w:rsidRDefault="006703F9" w:rsidP="00AC2EEB">
      <w:pPr>
        <w:rPr>
          <w:lang w:val="en-GB"/>
        </w:rPr>
      </w:pPr>
    </w:p>
    <w:p w14:paraId="4E6E7CEB" w14:textId="77777777" w:rsidR="006703F9" w:rsidRDefault="006703F9" w:rsidP="00AC2EEB">
      <w:pPr>
        <w:rPr>
          <w:lang w:val="en-GB"/>
        </w:rPr>
      </w:pPr>
    </w:p>
    <w:p w14:paraId="48E38C36" w14:textId="77777777" w:rsidR="006703F9" w:rsidRDefault="006703F9" w:rsidP="00AC2EEB">
      <w:pPr>
        <w:rPr>
          <w:lang w:val="en-GB"/>
        </w:rPr>
      </w:pPr>
    </w:p>
    <w:p w14:paraId="3A2E970E" w14:textId="77777777" w:rsidR="006703F9" w:rsidRDefault="006703F9" w:rsidP="00AC2EEB">
      <w:pPr>
        <w:rPr>
          <w:lang w:val="en-GB"/>
        </w:rPr>
      </w:pPr>
    </w:p>
    <w:p w14:paraId="65D040CD" w14:textId="77777777" w:rsidR="006703F9" w:rsidRDefault="006703F9" w:rsidP="00AC2EEB">
      <w:pPr>
        <w:rPr>
          <w:lang w:val="en-GB"/>
        </w:rPr>
      </w:pPr>
    </w:p>
    <w:p w14:paraId="63943F20" w14:textId="77777777" w:rsidR="006703F9" w:rsidRDefault="006703F9" w:rsidP="00AC2EEB">
      <w:pPr>
        <w:rPr>
          <w:lang w:val="en-GB"/>
        </w:rPr>
      </w:pPr>
    </w:p>
    <w:p w14:paraId="360FEAC6" w14:textId="77777777" w:rsidR="006703F9" w:rsidRDefault="006703F9" w:rsidP="00AC2EEB">
      <w:pPr>
        <w:rPr>
          <w:lang w:val="en-GB"/>
        </w:rPr>
      </w:pPr>
    </w:p>
    <w:p w14:paraId="130871D1" w14:textId="77777777" w:rsidR="006703F9" w:rsidRDefault="006703F9" w:rsidP="00AC2EEB">
      <w:pPr>
        <w:rPr>
          <w:lang w:val="en-GB"/>
        </w:rPr>
      </w:pPr>
    </w:p>
    <w:p w14:paraId="00E29434" w14:textId="77777777" w:rsidR="006703F9" w:rsidRDefault="006703F9" w:rsidP="00AC2EEB">
      <w:pPr>
        <w:rPr>
          <w:lang w:val="en-GB"/>
        </w:rPr>
      </w:pPr>
    </w:p>
    <w:p w14:paraId="61458380" w14:textId="77777777" w:rsidR="006703F9" w:rsidRDefault="006703F9" w:rsidP="00AC2EEB">
      <w:pPr>
        <w:rPr>
          <w:lang w:val="en-GB"/>
        </w:rPr>
      </w:pPr>
    </w:p>
    <w:p w14:paraId="292720EA" w14:textId="77777777" w:rsidR="006703F9" w:rsidRDefault="006703F9" w:rsidP="00AC2EEB">
      <w:pPr>
        <w:rPr>
          <w:lang w:val="en-GB"/>
        </w:rPr>
      </w:pPr>
    </w:p>
    <w:p w14:paraId="2653EA6D" w14:textId="77777777" w:rsidR="006703F9" w:rsidRDefault="006703F9" w:rsidP="00AC2EEB">
      <w:pPr>
        <w:rPr>
          <w:lang w:val="en-GB"/>
        </w:rPr>
      </w:pPr>
    </w:p>
    <w:p w14:paraId="68318B92" w14:textId="77777777" w:rsidR="006703F9" w:rsidRDefault="006703F9" w:rsidP="00AC2EEB">
      <w:pPr>
        <w:rPr>
          <w:lang w:val="en-GB"/>
        </w:rPr>
      </w:pPr>
    </w:p>
    <w:p w14:paraId="3654B9C1" w14:textId="77777777" w:rsidR="006703F9" w:rsidRDefault="006703F9" w:rsidP="00AC2EEB">
      <w:pPr>
        <w:rPr>
          <w:lang w:val="en-GB"/>
        </w:rPr>
      </w:pPr>
    </w:p>
    <w:p w14:paraId="69686C4B" w14:textId="77777777" w:rsidR="006703F9" w:rsidRDefault="006703F9" w:rsidP="00AC2EEB">
      <w:pPr>
        <w:rPr>
          <w:lang w:val="en-GB"/>
        </w:rPr>
      </w:pPr>
    </w:p>
    <w:p w14:paraId="76D62EEF" w14:textId="77777777" w:rsidR="006703F9" w:rsidRDefault="006703F9" w:rsidP="00AC2EEB">
      <w:pPr>
        <w:rPr>
          <w:lang w:val="en-GB"/>
        </w:rPr>
      </w:pPr>
    </w:p>
    <w:p w14:paraId="7A99AD2B" w14:textId="77777777" w:rsidR="006703F9" w:rsidRDefault="006703F9" w:rsidP="00AC2EEB">
      <w:pPr>
        <w:rPr>
          <w:lang w:val="en-GB"/>
        </w:rPr>
      </w:pPr>
    </w:p>
    <w:p w14:paraId="1AE65A8C" w14:textId="77777777" w:rsidR="006703F9" w:rsidRDefault="006703F9" w:rsidP="00AC2EEB">
      <w:pPr>
        <w:rPr>
          <w:lang w:val="en-GB"/>
        </w:rPr>
      </w:pPr>
    </w:p>
    <w:p w14:paraId="4DC2FA88" w14:textId="77777777" w:rsidR="006703F9" w:rsidRDefault="006703F9" w:rsidP="00AC2EEB">
      <w:pPr>
        <w:rPr>
          <w:lang w:val="en-GB"/>
        </w:rPr>
      </w:pPr>
    </w:p>
    <w:p w14:paraId="39B8EA36" w14:textId="122C6FA0" w:rsidR="006703F9" w:rsidRPr="0044090D" w:rsidRDefault="006703F9" w:rsidP="00AC2EEB">
      <w:pPr>
        <w:rPr>
          <w:lang w:val="en-GB"/>
        </w:rPr>
        <w:sectPr w:rsidR="006703F9" w:rsidRPr="0044090D">
          <w:footerReference w:type="default" r:id="rId15"/>
          <w:pgSz w:w="11906" w:h="16838"/>
          <w:pgMar w:top="1440" w:right="1440" w:bottom="1440" w:left="1440" w:header="708" w:footer="708" w:gutter="0"/>
          <w:pgNumType w:start="1"/>
          <w:cols w:space="708"/>
          <w:docGrid w:linePitch="360"/>
        </w:sectPr>
      </w:pPr>
    </w:p>
    <w:p w14:paraId="05FDF243" w14:textId="3C7BDB64" w:rsidR="00AC2EEB" w:rsidRDefault="00AC2EEB" w:rsidP="00340E44">
      <w:pPr>
        <w:pStyle w:val="MH1nonumb"/>
        <w:numPr>
          <w:ilvl w:val="0"/>
          <w:numId w:val="12"/>
        </w:numPr>
        <w:spacing w:after="0"/>
        <w:ind w:left="426" w:hanging="284"/>
      </w:pPr>
      <w:bookmarkStart w:id="1" w:name="_Toc496025532"/>
      <w:bookmarkStart w:id="2" w:name="_Toc496124919"/>
      <w:bookmarkStart w:id="3" w:name="_Toc517766161"/>
      <w:r w:rsidRPr="0044090D">
        <w:lastRenderedPageBreak/>
        <w:t>GENERAL BACKGROUND</w:t>
      </w:r>
      <w:bookmarkEnd w:id="1"/>
      <w:bookmarkEnd w:id="2"/>
      <w:bookmarkEnd w:id="3"/>
    </w:p>
    <w:p w14:paraId="769C5774" w14:textId="77777777" w:rsidR="00340E44" w:rsidRPr="00340E44" w:rsidRDefault="00340E44" w:rsidP="00340E44">
      <w:pPr>
        <w:pStyle w:val="MBT"/>
        <w:rPr>
          <w:lang w:val="en-GB"/>
        </w:rPr>
      </w:pPr>
    </w:p>
    <w:p w14:paraId="7A43A33E" w14:textId="77777777" w:rsidR="00020C1C" w:rsidRPr="0044090D" w:rsidRDefault="00AC2EEB" w:rsidP="00340E44">
      <w:pPr>
        <w:pStyle w:val="MMultilevel"/>
        <w:rPr>
          <w:i/>
          <w:color w:val="FF0000"/>
          <w:lang w:val="en-GB"/>
        </w:rPr>
      </w:pPr>
      <w:r w:rsidRPr="0044090D">
        <w:rPr>
          <w:b/>
          <w:i/>
          <w:color w:val="000000" w:themeColor="text1"/>
          <w:lang w:val="en-GB"/>
        </w:rPr>
        <w:t>Legal background</w:t>
      </w:r>
    </w:p>
    <w:p w14:paraId="0FDA767D" w14:textId="77777777" w:rsidR="00020C1C" w:rsidRPr="0044090D" w:rsidRDefault="00020C1C" w:rsidP="00340E44">
      <w:pPr>
        <w:pStyle w:val="MMultilevel"/>
        <w:numPr>
          <w:ilvl w:val="0"/>
          <w:numId w:val="0"/>
        </w:numPr>
        <w:ind w:left="425"/>
        <w:rPr>
          <w:b/>
          <w:i/>
          <w:color w:val="000000" w:themeColor="text1"/>
          <w:lang w:val="en-GB"/>
        </w:rPr>
      </w:pPr>
    </w:p>
    <w:p w14:paraId="4B0061B7" w14:textId="77777777" w:rsidR="000D3F29" w:rsidRDefault="00DD22FF" w:rsidP="000D3F29">
      <w:pPr>
        <w:pStyle w:val="MMultilevel"/>
        <w:numPr>
          <w:ilvl w:val="0"/>
          <w:numId w:val="0"/>
        </w:numPr>
        <w:rPr>
          <w:lang w:val="en-GB"/>
        </w:rPr>
      </w:pPr>
      <w:r w:rsidRPr="0044090D">
        <w:rPr>
          <w:lang w:val="en-GB"/>
        </w:rPr>
        <w:t xml:space="preserve">The </w:t>
      </w:r>
      <w:r w:rsidR="00F402DD" w:rsidRPr="0044090D">
        <w:rPr>
          <w:lang w:val="en-GB"/>
        </w:rPr>
        <w:t>Maltese Citizenship Act provides for the acquisition, deprivation and renunciation of Maltese citizenship</w:t>
      </w:r>
      <w:r w:rsidR="0021323B">
        <w:rPr>
          <w:lang w:val="en-GB"/>
        </w:rPr>
        <w:t>.</w:t>
      </w:r>
      <w:r w:rsidR="007203A6" w:rsidRPr="0044090D">
        <w:rPr>
          <w:rStyle w:val="FootnoteReference"/>
          <w:lang w:val="en-GB"/>
        </w:rPr>
        <w:footnoteReference w:id="1"/>
      </w:r>
      <w:r w:rsidR="00515074">
        <w:rPr>
          <w:lang w:val="en-GB"/>
        </w:rPr>
        <w:t xml:space="preserve"> </w:t>
      </w:r>
    </w:p>
    <w:p w14:paraId="68B18E2F" w14:textId="77777777" w:rsidR="000D3F29" w:rsidRDefault="000D3F29" w:rsidP="000D3F29">
      <w:pPr>
        <w:pStyle w:val="MMultilevel"/>
        <w:numPr>
          <w:ilvl w:val="0"/>
          <w:numId w:val="0"/>
        </w:numPr>
        <w:rPr>
          <w:lang w:val="en-GB"/>
        </w:rPr>
      </w:pPr>
    </w:p>
    <w:p w14:paraId="7EA87FB5" w14:textId="77777777" w:rsidR="000D3F29" w:rsidRDefault="00515074" w:rsidP="000D3F29">
      <w:pPr>
        <w:pStyle w:val="MMultilevel"/>
        <w:numPr>
          <w:ilvl w:val="0"/>
          <w:numId w:val="0"/>
        </w:numPr>
        <w:rPr>
          <w:lang w:val="en-GB"/>
        </w:rPr>
      </w:pPr>
      <w:r w:rsidRPr="00515074">
        <w:rPr>
          <w:lang w:val="en-GB"/>
        </w:rPr>
        <w:t>In October 2013, Malta adopted Act XV of 2013 that amended the Maltese Citizenship Act</w:t>
      </w:r>
      <w:r w:rsidR="00C40F93">
        <w:rPr>
          <w:lang w:val="en-GB"/>
        </w:rPr>
        <w:t xml:space="preserve"> </w:t>
      </w:r>
      <w:r w:rsidRPr="00515074">
        <w:rPr>
          <w:lang w:val="en-GB"/>
        </w:rPr>
        <w:t>and introduced the Individual Investor Programme (IIP)</w:t>
      </w:r>
      <w:r>
        <w:rPr>
          <w:lang w:val="en-GB"/>
        </w:rPr>
        <w:t xml:space="preserve">, </w:t>
      </w:r>
      <w:r w:rsidRPr="0044090D">
        <w:rPr>
          <w:lang w:val="en-GB"/>
        </w:rPr>
        <w:t xml:space="preserve">defined as ‘the individual investor programme as referred to in article 10(9)(b)’. Article 10(9)(b) of the Maltese Citizenship Act states that the Minister responsible for matters relating to Maltese citizenship may grant a certificate of naturalisation as a citizen of Malta to any person who is an </w:t>
      </w:r>
      <w:proofErr w:type="gramStart"/>
      <w:r w:rsidRPr="0044090D">
        <w:rPr>
          <w:lang w:val="en-GB"/>
        </w:rPr>
        <w:t>applicant, or</w:t>
      </w:r>
      <w:proofErr w:type="gramEnd"/>
      <w:r w:rsidRPr="0044090D">
        <w:rPr>
          <w:lang w:val="en-GB"/>
        </w:rPr>
        <w:t xml:space="preserve"> is a spouse or an eligible dependant of such applicant, under the individual investor programme of the Republic of Malta, and satisfies the requirements of the Act. The application must be made as prescribed under the Act and the applicant must take the oath of </w:t>
      </w:r>
      <w:r w:rsidR="00A13C67">
        <w:rPr>
          <w:lang w:val="en-GB"/>
        </w:rPr>
        <w:t>allegiance.</w:t>
      </w:r>
    </w:p>
    <w:p w14:paraId="21382C68" w14:textId="77777777" w:rsidR="000D3F29" w:rsidRDefault="000D3F29" w:rsidP="000D3F29">
      <w:pPr>
        <w:pStyle w:val="MMultilevel"/>
        <w:numPr>
          <w:ilvl w:val="0"/>
          <w:numId w:val="0"/>
        </w:numPr>
        <w:rPr>
          <w:lang w:val="en-GB"/>
        </w:rPr>
      </w:pPr>
    </w:p>
    <w:p w14:paraId="030C49C2" w14:textId="11D9AC53" w:rsidR="000D3F29" w:rsidRDefault="00F46705" w:rsidP="000D3F29">
      <w:pPr>
        <w:pStyle w:val="MMultilevel"/>
        <w:numPr>
          <w:ilvl w:val="0"/>
          <w:numId w:val="0"/>
        </w:numPr>
        <w:rPr>
          <w:lang w:val="en-GB"/>
        </w:rPr>
      </w:pPr>
      <w:r>
        <w:rPr>
          <w:lang w:val="en-GB"/>
        </w:rPr>
        <w:t xml:space="preserve">Act </w:t>
      </w:r>
      <w:r w:rsidR="00515074" w:rsidRPr="00515074">
        <w:rPr>
          <w:lang w:val="en-GB"/>
        </w:rPr>
        <w:t xml:space="preserve">XV of 2013 </w:t>
      </w:r>
      <w:r>
        <w:rPr>
          <w:lang w:val="en-GB"/>
        </w:rPr>
        <w:t xml:space="preserve">also </w:t>
      </w:r>
      <w:r w:rsidR="00515074" w:rsidRPr="00515074">
        <w:rPr>
          <w:lang w:val="en-GB"/>
        </w:rPr>
        <w:t xml:space="preserve">amended Article 24 of the Maltese Citizenship Act dealing with the power to make regulations under the Act. The President of Malta may by regulations make provision, </w:t>
      </w:r>
      <w:r w:rsidR="00515074" w:rsidRPr="00515074">
        <w:rPr>
          <w:i/>
          <w:lang w:val="en-GB"/>
        </w:rPr>
        <w:t>inter alia</w:t>
      </w:r>
      <w:r w:rsidR="00515074" w:rsidRPr="00515074">
        <w:rPr>
          <w:lang w:val="en-GB"/>
        </w:rPr>
        <w:t>, ‘for providing for any contributions or other fees of whatever nature in respect of the individual investor programme’ (Article 24(</w:t>
      </w:r>
      <w:proofErr w:type="spellStart"/>
      <w:r w:rsidR="00515074" w:rsidRPr="00515074">
        <w:rPr>
          <w:lang w:val="en-GB"/>
        </w:rPr>
        <w:t>i</w:t>
      </w:r>
      <w:proofErr w:type="spellEnd"/>
      <w:r w:rsidR="00515074" w:rsidRPr="00515074">
        <w:rPr>
          <w:lang w:val="en-GB"/>
        </w:rPr>
        <w:t>)(h)) and ‘for prescribing the requirements for and administration of the individual investor programme and for the granting of a certificate of naturalization as a citizen of Malta to an applicant, and spouse and eligible dependants of such applicant, meeting the requirements as may be prescribed’ (Article 24(1)(</w:t>
      </w:r>
      <w:proofErr w:type="spellStart"/>
      <w:r w:rsidR="00515074" w:rsidRPr="00515074">
        <w:rPr>
          <w:lang w:val="en-GB"/>
        </w:rPr>
        <w:t>i</w:t>
      </w:r>
      <w:proofErr w:type="spellEnd"/>
      <w:r w:rsidR="00515074" w:rsidRPr="00515074">
        <w:rPr>
          <w:lang w:val="en-GB"/>
        </w:rPr>
        <w:t>))</w:t>
      </w:r>
      <w:r w:rsidR="00F94744">
        <w:rPr>
          <w:lang w:val="en-GB"/>
        </w:rPr>
        <w:t>. Malta’s IIP law was adopted by virtue of such powers.</w:t>
      </w:r>
      <w:r w:rsidR="00515074" w:rsidRPr="00515074">
        <w:rPr>
          <w:lang w:val="en-GB"/>
        </w:rPr>
        <w:t xml:space="preserve"> </w:t>
      </w:r>
    </w:p>
    <w:p w14:paraId="09763EE4" w14:textId="77777777" w:rsidR="000D3F29" w:rsidRDefault="000D3F29" w:rsidP="000D3F29">
      <w:pPr>
        <w:pStyle w:val="MMultilevel"/>
        <w:numPr>
          <w:ilvl w:val="0"/>
          <w:numId w:val="0"/>
        </w:numPr>
        <w:rPr>
          <w:lang w:val="en-GB"/>
        </w:rPr>
      </w:pPr>
    </w:p>
    <w:p w14:paraId="18577924" w14:textId="21CFE313" w:rsidR="000D3F29" w:rsidRDefault="00515074" w:rsidP="00D52C12">
      <w:pPr>
        <w:pStyle w:val="MMultilevel"/>
        <w:numPr>
          <w:ilvl w:val="0"/>
          <w:numId w:val="0"/>
        </w:numPr>
        <w:rPr>
          <w:lang w:val="en-GB"/>
        </w:rPr>
      </w:pPr>
      <w:r w:rsidRPr="00515074">
        <w:rPr>
          <w:lang w:val="en-GB"/>
        </w:rPr>
        <w:t xml:space="preserve">This first draft of the IIP </w:t>
      </w:r>
      <w:r w:rsidR="0021323B">
        <w:rPr>
          <w:lang w:val="en-GB"/>
        </w:rPr>
        <w:t xml:space="preserve">law </w:t>
      </w:r>
      <w:r w:rsidRPr="00515074">
        <w:rPr>
          <w:lang w:val="en-GB"/>
        </w:rPr>
        <w:t xml:space="preserve">sparked reactions both from within Malta and </w:t>
      </w:r>
      <w:r>
        <w:rPr>
          <w:lang w:val="en-GB"/>
        </w:rPr>
        <w:t xml:space="preserve">from other </w:t>
      </w:r>
      <w:r w:rsidR="00BF72B6">
        <w:rPr>
          <w:lang w:val="en-GB"/>
        </w:rPr>
        <w:t xml:space="preserve">EU </w:t>
      </w:r>
      <w:r>
        <w:rPr>
          <w:lang w:val="en-GB"/>
        </w:rPr>
        <w:t>Member States</w:t>
      </w:r>
      <w:r w:rsidRPr="00515074">
        <w:rPr>
          <w:lang w:val="en-GB"/>
        </w:rPr>
        <w:t xml:space="preserve">, since it proposed a direct exchange of Maltese citizenship for a pecuniary contribution of </w:t>
      </w:r>
      <w:r w:rsidR="00C40F93">
        <w:rPr>
          <w:lang w:val="en-GB"/>
        </w:rPr>
        <w:t>EUR 650,000</w:t>
      </w:r>
      <w:r w:rsidRPr="00515074">
        <w:rPr>
          <w:lang w:val="en-GB"/>
        </w:rPr>
        <w:t xml:space="preserve"> (due diligence and criminal record checks applied). However, as the </w:t>
      </w:r>
      <w:r w:rsidRPr="00E51394">
        <w:rPr>
          <w:lang w:val="en-GB"/>
        </w:rPr>
        <w:t xml:space="preserve">exchange of </w:t>
      </w:r>
      <w:r w:rsidR="00C40F93" w:rsidRPr="00E51394">
        <w:rPr>
          <w:lang w:val="en-GB"/>
        </w:rPr>
        <w:t>citizenship</w:t>
      </w:r>
      <w:r w:rsidRPr="00E51394">
        <w:rPr>
          <w:lang w:val="en-GB"/>
        </w:rPr>
        <w:t xml:space="preserve"> for </w:t>
      </w:r>
      <w:r w:rsidR="00F2571F">
        <w:rPr>
          <w:lang w:val="en-GB"/>
        </w:rPr>
        <w:t>investment</w:t>
      </w:r>
      <w:r w:rsidR="00F2571F" w:rsidRPr="00E51394">
        <w:rPr>
          <w:lang w:val="en-GB"/>
        </w:rPr>
        <w:t xml:space="preserve"> </w:t>
      </w:r>
      <w:r w:rsidRPr="00E51394">
        <w:rPr>
          <w:lang w:val="en-GB"/>
        </w:rPr>
        <w:t xml:space="preserve">resulted in much domestic and international contention, </w:t>
      </w:r>
      <w:r w:rsidR="004257C3" w:rsidRPr="00E51394">
        <w:rPr>
          <w:lang w:val="en-GB"/>
        </w:rPr>
        <w:t xml:space="preserve">the IIP law, then </w:t>
      </w:r>
      <w:r w:rsidR="00BF72B6" w:rsidRPr="00E51394">
        <w:rPr>
          <w:lang w:val="en-GB"/>
        </w:rPr>
        <w:t>Legal Notice</w:t>
      </w:r>
      <w:r w:rsidR="00D52C12" w:rsidRPr="00E51394">
        <w:rPr>
          <w:lang w:val="en-GB"/>
        </w:rPr>
        <w:t xml:space="preserve"> 450 of 2013</w:t>
      </w:r>
      <w:r w:rsidR="002D38BF">
        <w:rPr>
          <w:lang w:val="en-GB"/>
        </w:rPr>
        <w:t xml:space="preserve"> (LN 450/2013)</w:t>
      </w:r>
      <w:r w:rsidR="004257C3" w:rsidRPr="00E51394">
        <w:rPr>
          <w:lang w:val="en-GB"/>
        </w:rPr>
        <w:t>,</w:t>
      </w:r>
      <w:r w:rsidR="00F94744">
        <w:rPr>
          <w:rStyle w:val="FootnoteReference"/>
          <w:lang w:val="en-GB"/>
        </w:rPr>
        <w:footnoteReference w:id="2"/>
      </w:r>
      <w:r w:rsidR="00D52C12" w:rsidRPr="00E51394">
        <w:rPr>
          <w:lang w:val="en-GB"/>
        </w:rPr>
        <w:t xml:space="preserve"> </w:t>
      </w:r>
      <w:r w:rsidRPr="00E51394">
        <w:rPr>
          <w:lang w:val="en-GB"/>
        </w:rPr>
        <w:t xml:space="preserve">stipulated additional criteria that the investors were required to meet in order to become eligible for </w:t>
      </w:r>
      <w:r w:rsidR="00C40F93" w:rsidRPr="00E51394">
        <w:rPr>
          <w:lang w:val="en-GB"/>
        </w:rPr>
        <w:t>Maltese</w:t>
      </w:r>
      <w:r w:rsidRPr="00E51394">
        <w:rPr>
          <w:lang w:val="en-GB"/>
        </w:rPr>
        <w:t xml:space="preserve"> and</w:t>
      </w:r>
      <w:r w:rsidR="00C40F93" w:rsidRPr="00E51394">
        <w:rPr>
          <w:lang w:val="en-GB"/>
        </w:rPr>
        <w:t xml:space="preserve"> consequently</w:t>
      </w:r>
      <w:r w:rsidRPr="00E51394">
        <w:rPr>
          <w:lang w:val="en-GB"/>
        </w:rPr>
        <w:t xml:space="preserve"> EU citizenship. These additional criteria included either the possession of property in the value of </w:t>
      </w:r>
      <w:r w:rsidR="00C40F93" w:rsidRPr="00E51394">
        <w:rPr>
          <w:lang w:val="en-GB"/>
        </w:rPr>
        <w:t xml:space="preserve">EUR </w:t>
      </w:r>
      <w:r w:rsidRPr="00E51394">
        <w:rPr>
          <w:lang w:val="en-GB"/>
        </w:rPr>
        <w:t xml:space="preserve">350,000, or the rental of property for at least </w:t>
      </w:r>
      <w:r w:rsidR="00C40F93" w:rsidRPr="00E51394">
        <w:rPr>
          <w:lang w:val="en-GB"/>
        </w:rPr>
        <w:t xml:space="preserve">EUR </w:t>
      </w:r>
      <w:r w:rsidRPr="00E51394">
        <w:rPr>
          <w:lang w:val="en-GB"/>
        </w:rPr>
        <w:t>16,000 per year</w:t>
      </w:r>
      <w:r w:rsidR="00D52C12" w:rsidRPr="00E51394">
        <w:rPr>
          <w:lang w:val="en-GB"/>
        </w:rPr>
        <w:t>;</w:t>
      </w:r>
      <w:r w:rsidRPr="00E51394">
        <w:rPr>
          <w:lang w:val="en-GB"/>
        </w:rPr>
        <w:t xml:space="preserve"> and an additional investment of </w:t>
      </w:r>
      <w:r w:rsidR="00C40F93" w:rsidRPr="00E51394">
        <w:rPr>
          <w:lang w:val="en-GB"/>
        </w:rPr>
        <w:t xml:space="preserve">EUR </w:t>
      </w:r>
      <w:r w:rsidRPr="00E51394">
        <w:rPr>
          <w:lang w:val="en-GB"/>
        </w:rPr>
        <w:t>150,000 into a project determined by the state authorities.</w:t>
      </w:r>
      <w:r w:rsidRPr="00E51394">
        <w:rPr>
          <w:vertAlign w:val="superscript"/>
          <w:lang w:val="en-GB"/>
        </w:rPr>
        <w:footnoteReference w:id="3"/>
      </w:r>
      <w:r w:rsidRPr="00E51394">
        <w:rPr>
          <w:lang w:val="en-GB"/>
        </w:rPr>
        <w:t xml:space="preserve"> </w:t>
      </w:r>
      <w:r w:rsidR="00D95799">
        <w:rPr>
          <w:lang w:val="en-GB"/>
        </w:rPr>
        <w:t>While</w:t>
      </w:r>
      <w:r w:rsidRPr="00E51394">
        <w:rPr>
          <w:lang w:val="en-GB"/>
        </w:rPr>
        <w:t xml:space="preserve"> increasing the amount of the contribution and specifying its targets, the amendments did not require further commitment on behalf of the investors. This amendment also capped the number of </w:t>
      </w:r>
      <w:r w:rsidR="00826CB3" w:rsidRPr="00E51394">
        <w:rPr>
          <w:lang w:val="en-GB"/>
        </w:rPr>
        <w:t>successful main applicants</w:t>
      </w:r>
      <w:r w:rsidRPr="00E51394">
        <w:rPr>
          <w:lang w:val="en-GB"/>
        </w:rPr>
        <w:t xml:space="preserve"> to 1,800</w:t>
      </w:r>
      <w:r w:rsidR="00746123">
        <w:rPr>
          <w:lang w:val="en-GB"/>
        </w:rPr>
        <w:t xml:space="preserve"> meaning that the existence of the scheme is subject to this </w:t>
      </w:r>
      <w:r w:rsidR="00B44B29">
        <w:rPr>
          <w:lang w:val="en-GB"/>
        </w:rPr>
        <w:t>limit</w:t>
      </w:r>
      <w:r w:rsidR="00EE297C">
        <w:rPr>
          <w:lang w:val="en-GB"/>
        </w:rPr>
        <w:t xml:space="preserve"> (see point 1.3 in Section II below)</w:t>
      </w:r>
      <w:r w:rsidR="00746123">
        <w:rPr>
          <w:lang w:val="en-GB"/>
        </w:rPr>
        <w:t>. T</w:t>
      </w:r>
      <w:r w:rsidR="00675035">
        <w:rPr>
          <w:lang w:val="en-GB"/>
        </w:rPr>
        <w:t>he</w:t>
      </w:r>
      <w:r w:rsidR="0041754C">
        <w:rPr>
          <w:lang w:val="en-GB"/>
        </w:rPr>
        <w:t xml:space="preserve"> current IIP</w:t>
      </w:r>
      <w:r w:rsidR="00675035">
        <w:rPr>
          <w:lang w:val="en-GB"/>
        </w:rPr>
        <w:t xml:space="preserve"> scheme w</w:t>
      </w:r>
      <w:r w:rsidR="00746123">
        <w:rPr>
          <w:lang w:val="en-GB"/>
        </w:rPr>
        <w:t>ill</w:t>
      </w:r>
      <w:r w:rsidR="00675035">
        <w:rPr>
          <w:lang w:val="en-GB"/>
        </w:rPr>
        <w:t xml:space="preserve"> no longer be available once that limit </w:t>
      </w:r>
      <w:r w:rsidR="00746123">
        <w:rPr>
          <w:lang w:val="en-GB"/>
        </w:rPr>
        <w:t>i</w:t>
      </w:r>
      <w:r w:rsidR="00675035">
        <w:rPr>
          <w:lang w:val="en-GB"/>
        </w:rPr>
        <w:t>s reached</w:t>
      </w:r>
      <w:r w:rsidR="009B530F">
        <w:rPr>
          <w:rStyle w:val="FootnoteReference"/>
          <w:lang w:val="en-GB"/>
        </w:rPr>
        <w:footnoteReference w:id="4"/>
      </w:r>
      <w:r w:rsidR="009B530F">
        <w:rPr>
          <w:lang w:val="en-GB"/>
        </w:rPr>
        <w:t xml:space="preserve"> </w:t>
      </w:r>
      <w:r w:rsidR="00746123">
        <w:rPr>
          <w:lang w:val="en-GB"/>
        </w:rPr>
        <w:t>and new</w:t>
      </w:r>
      <w:r w:rsidR="009B530F">
        <w:rPr>
          <w:lang w:val="en-GB"/>
        </w:rPr>
        <w:t xml:space="preserve"> legislation would be necessary</w:t>
      </w:r>
      <w:r w:rsidR="00746123">
        <w:rPr>
          <w:lang w:val="en-GB"/>
        </w:rPr>
        <w:t xml:space="preserve"> to continue the scheme.</w:t>
      </w:r>
    </w:p>
    <w:p w14:paraId="6ECF090C" w14:textId="77777777" w:rsidR="000D3F29" w:rsidRDefault="000D3F29" w:rsidP="000D3F29">
      <w:pPr>
        <w:pStyle w:val="MMultilevel"/>
        <w:numPr>
          <w:ilvl w:val="0"/>
          <w:numId w:val="0"/>
        </w:numPr>
        <w:rPr>
          <w:lang w:val="en-GB"/>
        </w:rPr>
      </w:pPr>
    </w:p>
    <w:p w14:paraId="179AFE0C" w14:textId="77777777" w:rsidR="000D3F29" w:rsidRDefault="00515074" w:rsidP="000D3F29">
      <w:pPr>
        <w:pStyle w:val="MMultilevel"/>
        <w:numPr>
          <w:ilvl w:val="0"/>
          <w:numId w:val="0"/>
        </w:numPr>
        <w:rPr>
          <w:lang w:val="en-GB"/>
        </w:rPr>
      </w:pPr>
      <w:r w:rsidRPr="00515074">
        <w:rPr>
          <w:lang w:val="en-GB"/>
        </w:rPr>
        <w:t>Following the debate ‘EU citizenship for sale’ held in the European Parliament on 15 January 2014,</w:t>
      </w:r>
      <w:r w:rsidRPr="00515074">
        <w:rPr>
          <w:vertAlign w:val="superscript"/>
          <w:lang w:val="en-GB"/>
        </w:rPr>
        <w:footnoteReference w:id="5"/>
      </w:r>
      <w:r w:rsidRPr="00515074">
        <w:rPr>
          <w:lang w:val="en-GB"/>
        </w:rPr>
        <w:t xml:space="preserve"> whereby the concern was expressed ‘that this way of obtaining citizenship in Malta, as well as any other national scheme that may involve the direct or indirect outright sale of citizenship, undermines the very concept of European citizenship’, and after discussion with the </w:t>
      </w:r>
      <w:r>
        <w:rPr>
          <w:lang w:val="en-GB"/>
        </w:rPr>
        <w:t xml:space="preserve">European </w:t>
      </w:r>
      <w:r w:rsidRPr="00515074">
        <w:rPr>
          <w:lang w:val="en-GB"/>
        </w:rPr>
        <w:t>Commission</w:t>
      </w:r>
      <w:r w:rsidR="00C40F93">
        <w:rPr>
          <w:lang w:val="en-GB"/>
        </w:rPr>
        <w:t>,</w:t>
      </w:r>
      <w:r w:rsidRPr="00515074">
        <w:rPr>
          <w:lang w:val="en-GB"/>
        </w:rPr>
        <w:t xml:space="preserve"> Malta amended </w:t>
      </w:r>
      <w:r w:rsidRPr="00515074">
        <w:rPr>
          <w:lang w:val="en-GB"/>
        </w:rPr>
        <w:lastRenderedPageBreak/>
        <w:t>its IIP</w:t>
      </w:r>
      <w:r w:rsidR="00C40F93">
        <w:rPr>
          <w:lang w:val="en-GB"/>
        </w:rPr>
        <w:t xml:space="preserve"> law</w:t>
      </w:r>
      <w:r w:rsidRPr="00515074">
        <w:rPr>
          <w:lang w:val="en-GB"/>
        </w:rPr>
        <w:t xml:space="preserve"> in February 2014. On this basis, the </w:t>
      </w:r>
      <w:r w:rsidR="00C40F93">
        <w:rPr>
          <w:lang w:val="en-GB"/>
        </w:rPr>
        <w:t>IIP</w:t>
      </w:r>
      <w:r w:rsidRPr="00515074">
        <w:rPr>
          <w:lang w:val="en-GB"/>
        </w:rPr>
        <w:t xml:space="preserve"> is regulated by subsidiary legislation issued under the Maltese Citizenship Act, namely, the Individual Investor Programme of the Republic of Malta Regulations, Legal Notice 47 of 2014 (LN 47/2014)</w:t>
      </w:r>
      <w:r w:rsidR="0021323B">
        <w:rPr>
          <w:lang w:val="en-GB"/>
        </w:rPr>
        <w:t>.</w:t>
      </w:r>
      <w:r w:rsidRPr="00515074">
        <w:rPr>
          <w:vertAlign w:val="superscript"/>
          <w:lang w:val="en-GB"/>
        </w:rPr>
        <w:footnoteReference w:id="6"/>
      </w:r>
      <w:r w:rsidRPr="00515074">
        <w:rPr>
          <w:lang w:val="en-GB"/>
        </w:rPr>
        <w:t xml:space="preserve"> LN 47/2014 establishes the ‘Individual Investor Programme of the Republic of Malta’. This allows for the grant of citizenship by a certificate of naturalisation to foreign individuals and their families who contribute to the economic development of Malta as provided for by LN 47/2014. </w:t>
      </w:r>
    </w:p>
    <w:p w14:paraId="3010C4CA" w14:textId="77777777" w:rsidR="000D3F29" w:rsidRDefault="000D3F29" w:rsidP="000D3F29">
      <w:pPr>
        <w:pStyle w:val="MMultilevel"/>
        <w:numPr>
          <w:ilvl w:val="0"/>
          <w:numId w:val="0"/>
        </w:numPr>
        <w:rPr>
          <w:lang w:val="en-GB"/>
        </w:rPr>
      </w:pPr>
    </w:p>
    <w:p w14:paraId="59D447C7" w14:textId="5874ED27" w:rsidR="00395595" w:rsidRDefault="002D38BF" w:rsidP="00395595">
      <w:pPr>
        <w:pStyle w:val="MMultilevel"/>
        <w:numPr>
          <w:ilvl w:val="0"/>
          <w:numId w:val="0"/>
        </w:numPr>
        <w:rPr>
          <w:lang w:val="en-GB"/>
        </w:rPr>
      </w:pPr>
      <w:r>
        <w:rPr>
          <w:lang w:val="en-GB"/>
        </w:rPr>
        <w:t>Unlike</w:t>
      </w:r>
      <w:r w:rsidR="007655D9">
        <w:rPr>
          <w:lang w:val="en-GB"/>
        </w:rPr>
        <w:t xml:space="preserve"> the previous IIP law, LN 47/2014 contains</w:t>
      </w:r>
      <w:r w:rsidR="00515074" w:rsidRPr="00515074">
        <w:rPr>
          <w:lang w:val="en-GB"/>
        </w:rPr>
        <w:t xml:space="preserve"> a</w:t>
      </w:r>
      <w:r w:rsidR="00826CB3">
        <w:rPr>
          <w:lang w:val="en-GB"/>
        </w:rPr>
        <w:t>n effective</w:t>
      </w:r>
      <w:r w:rsidR="00515074" w:rsidRPr="00515074">
        <w:rPr>
          <w:lang w:val="en-GB"/>
        </w:rPr>
        <w:t xml:space="preserve"> re</w:t>
      </w:r>
      <w:r w:rsidR="00826CB3">
        <w:rPr>
          <w:lang w:val="en-GB"/>
        </w:rPr>
        <w:t>sidence requirement of one year</w:t>
      </w:r>
      <w:r w:rsidR="00515074" w:rsidRPr="00515074">
        <w:rPr>
          <w:lang w:val="en-GB"/>
        </w:rPr>
        <w:t xml:space="preserve"> to attest a link between the applicant and the country and its people.</w:t>
      </w:r>
      <w:r w:rsidR="00395595">
        <w:rPr>
          <w:lang w:val="en-GB"/>
        </w:rPr>
        <w:t xml:space="preserve"> In accordance with Regulation 7(12) of LN 47/2014 a certificate of </w:t>
      </w:r>
      <w:proofErr w:type="spellStart"/>
      <w:r w:rsidR="00395595">
        <w:rPr>
          <w:lang w:val="en-GB"/>
        </w:rPr>
        <w:t>nautralisation</w:t>
      </w:r>
      <w:proofErr w:type="spellEnd"/>
      <w:r w:rsidR="00395595">
        <w:rPr>
          <w:lang w:val="en-GB"/>
        </w:rPr>
        <w:t xml:space="preserve"> will not be issued ‘unless the main applicant provides proof that he has been a resident of Malta for a period of at least twelve months preceding the day of the issuing of the certificate if naturalisation’</w:t>
      </w:r>
      <w:r w:rsidR="007B2297">
        <w:rPr>
          <w:lang w:val="en-GB"/>
        </w:rPr>
        <w:t xml:space="preserve"> (see point 2.2. of Section II below).</w:t>
      </w:r>
    </w:p>
    <w:p w14:paraId="0A30CE02" w14:textId="77777777" w:rsidR="00395595" w:rsidRDefault="00395595" w:rsidP="00395595">
      <w:pPr>
        <w:pStyle w:val="MMultilevel"/>
        <w:numPr>
          <w:ilvl w:val="0"/>
          <w:numId w:val="0"/>
        </w:numPr>
        <w:rPr>
          <w:lang w:val="en-GB"/>
        </w:rPr>
      </w:pPr>
    </w:p>
    <w:p w14:paraId="0E5A363A" w14:textId="008B4288" w:rsidR="000D3F29" w:rsidRDefault="00395595" w:rsidP="00395595">
      <w:pPr>
        <w:pStyle w:val="MMultilevel"/>
        <w:numPr>
          <w:ilvl w:val="0"/>
          <w:numId w:val="0"/>
        </w:numPr>
        <w:rPr>
          <w:lang w:val="en-GB"/>
        </w:rPr>
      </w:pPr>
      <w:r>
        <w:rPr>
          <w:lang w:val="en-GB"/>
        </w:rPr>
        <w:t>For the sake of completeness, it is noted that a correction</w:t>
      </w:r>
      <w:r w:rsidR="002D38BF" w:rsidRPr="00515074">
        <w:rPr>
          <w:vertAlign w:val="superscript"/>
          <w:lang w:val="en-GB"/>
        </w:rPr>
        <w:footnoteReference w:id="7"/>
      </w:r>
      <w:r>
        <w:rPr>
          <w:lang w:val="en-GB"/>
        </w:rPr>
        <w:t xml:space="preserve"> was made to LN 47/2014,</w:t>
      </w:r>
      <w:r w:rsidR="00515074" w:rsidRPr="00515074">
        <w:rPr>
          <w:lang w:val="en-GB"/>
        </w:rPr>
        <w:t xml:space="preserve"> due to differences in the Maltese and English versions</w:t>
      </w:r>
      <w:r>
        <w:rPr>
          <w:lang w:val="en-GB"/>
        </w:rPr>
        <w:t xml:space="preserve"> </w:t>
      </w:r>
      <w:r w:rsidR="004257C3">
        <w:rPr>
          <w:lang w:val="en-GB"/>
        </w:rPr>
        <w:t>of the law</w:t>
      </w:r>
      <w:r>
        <w:rPr>
          <w:lang w:val="en-GB"/>
        </w:rPr>
        <w:t>. These changes relate to the correction of typographical errors and have no impact on the substantive requirements</w:t>
      </w:r>
      <w:r w:rsidR="002D38BF">
        <w:rPr>
          <w:lang w:val="en-GB"/>
        </w:rPr>
        <w:t>, that have not been amended since the adoption of the law in 2014.</w:t>
      </w:r>
      <w:r w:rsidR="00515074" w:rsidRPr="00515074">
        <w:rPr>
          <w:lang w:val="en-GB"/>
        </w:rPr>
        <w:t xml:space="preserve"> </w:t>
      </w:r>
    </w:p>
    <w:p w14:paraId="35DF156E" w14:textId="77777777" w:rsidR="000D3F29" w:rsidRDefault="000D3F29" w:rsidP="000D3F29">
      <w:pPr>
        <w:pStyle w:val="MMultilevel"/>
        <w:numPr>
          <w:ilvl w:val="0"/>
          <w:numId w:val="0"/>
        </w:numPr>
        <w:rPr>
          <w:lang w:val="en-GB"/>
        </w:rPr>
      </w:pPr>
    </w:p>
    <w:p w14:paraId="4A45E5F1" w14:textId="1A75A43B" w:rsidR="000D3F29" w:rsidRDefault="00515074" w:rsidP="000D3F29">
      <w:pPr>
        <w:pStyle w:val="MMultilevel"/>
        <w:numPr>
          <w:ilvl w:val="0"/>
          <w:numId w:val="0"/>
        </w:numPr>
        <w:rPr>
          <w:lang w:val="en-GB"/>
        </w:rPr>
      </w:pPr>
      <w:r w:rsidRPr="00515074">
        <w:rPr>
          <w:lang w:val="en-GB"/>
        </w:rPr>
        <w:t xml:space="preserve">The onus </w:t>
      </w:r>
      <w:r w:rsidRPr="00BF72B6">
        <w:rPr>
          <w:lang w:val="en-GB"/>
        </w:rPr>
        <w:t>of proving effective residence in Malta for one year is on the main applicant (prior residence</w:t>
      </w:r>
      <w:r w:rsidR="004257C3">
        <w:rPr>
          <w:lang w:val="en-GB"/>
        </w:rPr>
        <w:t xml:space="preserve"> is</w:t>
      </w:r>
      <w:r w:rsidRPr="00BF72B6">
        <w:rPr>
          <w:lang w:val="en-GB"/>
        </w:rPr>
        <w:t xml:space="preserve"> not required for dependants). </w:t>
      </w:r>
      <w:r w:rsidR="00BF72B6">
        <w:rPr>
          <w:lang w:val="en-GB"/>
        </w:rPr>
        <w:t>Following</w:t>
      </w:r>
      <w:r w:rsidRPr="00BF72B6">
        <w:rPr>
          <w:lang w:val="en-GB"/>
        </w:rPr>
        <w:t xml:space="preserve"> the most recent amendment</w:t>
      </w:r>
      <w:r w:rsidR="00570AE2" w:rsidRPr="00BF72B6">
        <w:rPr>
          <w:lang w:val="en-GB"/>
        </w:rPr>
        <w:t xml:space="preserve"> to the Cit</w:t>
      </w:r>
      <w:r w:rsidR="00BF72B6" w:rsidRPr="00BF72B6">
        <w:rPr>
          <w:lang w:val="en-GB"/>
        </w:rPr>
        <w:t>izenship Regulations</w:t>
      </w:r>
      <w:r w:rsidR="0083084C">
        <w:rPr>
          <w:rStyle w:val="FootnoteReference"/>
          <w:lang w:val="en-GB"/>
        </w:rPr>
        <w:footnoteReference w:id="8"/>
      </w:r>
      <w:r w:rsidRPr="00BF72B6">
        <w:rPr>
          <w:lang w:val="en-GB"/>
        </w:rPr>
        <w:t xml:space="preserve"> </w:t>
      </w:r>
      <w:r w:rsidR="00BF72B6" w:rsidRPr="00BF72B6">
        <w:rPr>
          <w:lang w:val="en-GB"/>
        </w:rPr>
        <w:t xml:space="preserve">that is </w:t>
      </w:r>
      <w:r w:rsidR="00BF72B6" w:rsidRPr="006F3299">
        <w:rPr>
          <w:lang w:val="en-GB"/>
        </w:rPr>
        <w:t xml:space="preserve">of relevance </w:t>
      </w:r>
      <w:r w:rsidRPr="006F3299">
        <w:rPr>
          <w:lang w:val="en-GB"/>
        </w:rPr>
        <w:t xml:space="preserve">to the IIP, the applicant </w:t>
      </w:r>
      <w:r w:rsidR="00BF72B6" w:rsidRPr="006F3299">
        <w:rPr>
          <w:lang w:val="en-GB"/>
        </w:rPr>
        <w:t xml:space="preserve">must confirm that s/he </w:t>
      </w:r>
      <w:r w:rsidRPr="006F3299">
        <w:rPr>
          <w:lang w:val="en-GB"/>
        </w:rPr>
        <w:t xml:space="preserve">will ‘undertake to provide proof of residence in Malta prior to being granted a certificate of naturalisation as a citizen of Malta in accordance with the Individual Investor Programme of the </w:t>
      </w:r>
      <w:r w:rsidRPr="00042B19">
        <w:rPr>
          <w:lang w:val="en-GB"/>
        </w:rPr>
        <w:t>Republic of Malta Regulations 2014’.</w:t>
      </w:r>
      <w:r w:rsidRPr="006F3299">
        <w:rPr>
          <w:vertAlign w:val="superscript"/>
          <w:lang w:val="en-GB"/>
        </w:rPr>
        <w:footnoteReference w:id="9"/>
      </w:r>
      <w:r w:rsidRPr="006F3299">
        <w:rPr>
          <w:lang w:val="en-GB"/>
        </w:rPr>
        <w:t xml:space="preserve"> The Maltese authorities ar</w:t>
      </w:r>
      <w:r w:rsidRPr="00042B19">
        <w:rPr>
          <w:lang w:val="en-GB"/>
        </w:rPr>
        <w:t xml:space="preserve">e to verify such effective residence in the course of the due diligence </w:t>
      </w:r>
      <w:r w:rsidR="009B530F" w:rsidRPr="00042B19">
        <w:rPr>
          <w:lang w:val="en-GB"/>
        </w:rPr>
        <w:t xml:space="preserve">(see point 2.4 of Section II) </w:t>
      </w:r>
      <w:r w:rsidRPr="00042B19">
        <w:rPr>
          <w:lang w:val="en-GB"/>
        </w:rPr>
        <w:t xml:space="preserve">preceding the granting of naturalisation. Methods used are to be the same as those used for ‘ordinary applicants’ and can include invoices, registration with schools, local mobile phone, a car, membership in </w:t>
      </w:r>
      <w:r w:rsidR="00C40F93" w:rsidRPr="00042B19">
        <w:rPr>
          <w:lang w:val="en-GB"/>
        </w:rPr>
        <w:t>local clubs or professional bodies</w:t>
      </w:r>
      <w:r w:rsidRPr="00042B19">
        <w:rPr>
          <w:lang w:val="en-GB"/>
        </w:rPr>
        <w:t>, philanthropic initiatives, or professional bodies</w:t>
      </w:r>
      <w:r w:rsidRPr="006F3299">
        <w:rPr>
          <w:lang w:val="en-GB"/>
        </w:rPr>
        <w:t>.</w:t>
      </w:r>
      <w:r w:rsidR="006F3299" w:rsidRPr="006F3299">
        <w:rPr>
          <w:rStyle w:val="FootnoteReference"/>
          <w:lang w:val="en-GB"/>
        </w:rPr>
        <w:footnoteReference w:id="10"/>
      </w:r>
      <w:r w:rsidRPr="00515074">
        <w:rPr>
          <w:lang w:val="en-GB"/>
        </w:rPr>
        <w:t xml:space="preserve"> </w:t>
      </w:r>
    </w:p>
    <w:p w14:paraId="7693253D" w14:textId="77777777" w:rsidR="000D3F29" w:rsidRDefault="000D3F29" w:rsidP="000D3F29">
      <w:pPr>
        <w:pStyle w:val="MMultilevel"/>
        <w:numPr>
          <w:ilvl w:val="0"/>
          <w:numId w:val="0"/>
        </w:numPr>
        <w:rPr>
          <w:lang w:val="en-GB"/>
        </w:rPr>
      </w:pPr>
    </w:p>
    <w:p w14:paraId="6297B654" w14:textId="3779ECEA" w:rsidR="009B530F" w:rsidRPr="00515074" w:rsidRDefault="00515074" w:rsidP="000D3F29">
      <w:pPr>
        <w:pStyle w:val="MMultilevel"/>
        <w:numPr>
          <w:ilvl w:val="0"/>
          <w:numId w:val="0"/>
        </w:numPr>
        <w:rPr>
          <w:lang w:val="en-GB"/>
        </w:rPr>
      </w:pPr>
      <w:r w:rsidRPr="00515074">
        <w:rPr>
          <w:lang w:val="en-GB"/>
        </w:rPr>
        <w:t xml:space="preserve">Other conditions for obtaining the citizenship of Malta through investment include </w:t>
      </w:r>
      <w:r w:rsidR="0031687C">
        <w:rPr>
          <w:lang w:val="en-GB"/>
        </w:rPr>
        <w:t>a successful</w:t>
      </w:r>
      <w:r w:rsidRPr="00515074">
        <w:rPr>
          <w:lang w:val="en-GB"/>
        </w:rPr>
        <w:t xml:space="preserve"> due diligence</w:t>
      </w:r>
      <w:r w:rsidR="009B530F">
        <w:rPr>
          <w:lang w:val="en-GB"/>
        </w:rPr>
        <w:t xml:space="preserve"> (see point 2.4 of Section II)</w:t>
      </w:r>
      <w:r w:rsidRPr="00515074">
        <w:rPr>
          <w:lang w:val="en-GB"/>
        </w:rPr>
        <w:t xml:space="preserve">, proof of the applicant’s moral standing, a clean criminal record, health certificate and insurance and an oath of allegiance. The language criterion, applicable to ordinary applicants, is waived. Moreover, Identity Malta stipulates that individuals, who are nationals or residents of Afghanistan, Iran and </w:t>
      </w:r>
      <w:r w:rsidR="0031687C">
        <w:rPr>
          <w:lang w:val="en-GB"/>
        </w:rPr>
        <w:t xml:space="preserve">the </w:t>
      </w:r>
      <w:r w:rsidRPr="00515074">
        <w:rPr>
          <w:lang w:val="en-GB"/>
        </w:rPr>
        <w:t xml:space="preserve">Democratic People’s Republic of Korea, or with significant ties to these countries, are excluded from </w:t>
      </w:r>
      <w:r w:rsidR="0031687C">
        <w:rPr>
          <w:lang w:val="en-GB"/>
        </w:rPr>
        <w:t xml:space="preserve">the </w:t>
      </w:r>
      <w:r w:rsidRPr="00515074">
        <w:rPr>
          <w:lang w:val="en-GB"/>
        </w:rPr>
        <w:t>IIP.</w:t>
      </w:r>
      <w:r w:rsidRPr="00515074">
        <w:rPr>
          <w:vertAlign w:val="superscript"/>
          <w:lang w:val="en-GB"/>
        </w:rPr>
        <w:footnoteReference w:id="11"/>
      </w:r>
      <w:r w:rsidRPr="00515074">
        <w:rPr>
          <w:lang w:val="en-GB"/>
        </w:rPr>
        <w:t xml:space="preserve"> </w:t>
      </w:r>
    </w:p>
    <w:p w14:paraId="133FB7FC" w14:textId="77777777" w:rsidR="00E30079" w:rsidRPr="0044090D" w:rsidRDefault="00E30079" w:rsidP="00E30079">
      <w:pPr>
        <w:pStyle w:val="MMultilevel"/>
        <w:numPr>
          <w:ilvl w:val="0"/>
          <w:numId w:val="0"/>
        </w:numPr>
        <w:ind w:left="425"/>
        <w:rPr>
          <w:i/>
          <w:color w:val="FF0000"/>
          <w:lang w:val="en-GB"/>
        </w:rPr>
      </w:pPr>
    </w:p>
    <w:p w14:paraId="0E81FD0A" w14:textId="77777777" w:rsidR="009E7B43" w:rsidRPr="0044090D" w:rsidRDefault="00AC2EEB" w:rsidP="00C625F4">
      <w:pPr>
        <w:pStyle w:val="MMultilevel"/>
        <w:rPr>
          <w:i/>
          <w:color w:val="FF0000"/>
          <w:lang w:val="en-GB"/>
        </w:rPr>
      </w:pPr>
      <w:r w:rsidRPr="0044090D">
        <w:rPr>
          <w:b/>
          <w:i/>
          <w:color w:val="000000" w:themeColor="text1"/>
          <w:lang w:val="en-GB"/>
        </w:rPr>
        <w:t>Competent authorities</w:t>
      </w:r>
    </w:p>
    <w:p w14:paraId="2BD52ED8" w14:textId="77777777" w:rsidR="000D3F29" w:rsidRDefault="000D3F29" w:rsidP="000D3F29">
      <w:pPr>
        <w:pStyle w:val="MMultilevel"/>
        <w:numPr>
          <w:ilvl w:val="0"/>
          <w:numId w:val="0"/>
        </w:numPr>
        <w:rPr>
          <w:b/>
          <w:i/>
          <w:color w:val="000000" w:themeColor="text1"/>
          <w:lang w:val="en-GB"/>
        </w:rPr>
      </w:pPr>
    </w:p>
    <w:p w14:paraId="2C72CF84" w14:textId="77777777" w:rsidR="008757B2" w:rsidRPr="0044090D" w:rsidRDefault="000E72A0" w:rsidP="000D3F29">
      <w:pPr>
        <w:pStyle w:val="MMultilevel"/>
        <w:numPr>
          <w:ilvl w:val="0"/>
          <w:numId w:val="0"/>
        </w:numPr>
        <w:rPr>
          <w:lang w:val="en-GB"/>
        </w:rPr>
      </w:pPr>
      <w:r w:rsidRPr="0044090D">
        <w:rPr>
          <w:lang w:val="en-GB"/>
        </w:rPr>
        <w:t xml:space="preserve">The competent authority in relation to migration and residence permits is the Department of Citizenship and Expatriate Affairs within the </w:t>
      </w:r>
      <w:r w:rsidR="00A937F0" w:rsidRPr="0044090D">
        <w:rPr>
          <w:lang w:val="en-GB"/>
        </w:rPr>
        <w:t>Identity Malta Agency (Identity Malta)</w:t>
      </w:r>
      <w:r w:rsidRPr="0044090D">
        <w:rPr>
          <w:lang w:val="en-GB"/>
        </w:rPr>
        <w:t xml:space="preserve">. </w:t>
      </w:r>
    </w:p>
    <w:p w14:paraId="4B8FB386" w14:textId="77777777" w:rsidR="000D3F29" w:rsidRDefault="000D3F29" w:rsidP="000D3F29">
      <w:pPr>
        <w:pStyle w:val="MMultilevel"/>
        <w:numPr>
          <w:ilvl w:val="0"/>
          <w:numId w:val="0"/>
        </w:numPr>
        <w:ind w:left="425" w:hanging="425"/>
        <w:rPr>
          <w:lang w:val="en-GB"/>
        </w:rPr>
      </w:pPr>
    </w:p>
    <w:p w14:paraId="62E6FAD6" w14:textId="77777777" w:rsidR="00AC2EEB" w:rsidRPr="0044090D" w:rsidRDefault="00A937F0" w:rsidP="000D3F29">
      <w:pPr>
        <w:pStyle w:val="MMultilevel"/>
        <w:numPr>
          <w:ilvl w:val="0"/>
          <w:numId w:val="0"/>
        </w:numPr>
        <w:rPr>
          <w:i/>
          <w:color w:val="FF0000"/>
          <w:lang w:val="en-GB"/>
        </w:rPr>
      </w:pPr>
      <w:r w:rsidRPr="0044090D">
        <w:rPr>
          <w:lang w:val="en-GB"/>
        </w:rPr>
        <w:lastRenderedPageBreak/>
        <w:t xml:space="preserve">Identity Malta was set up by the </w:t>
      </w:r>
      <w:r w:rsidR="000E72A0" w:rsidRPr="0044090D">
        <w:rPr>
          <w:lang w:val="en-GB"/>
        </w:rPr>
        <w:t>Identity Malta Agency (Establishment) Order</w:t>
      </w:r>
      <w:r w:rsidR="00C3570B" w:rsidRPr="0044090D">
        <w:rPr>
          <w:lang w:val="en-GB"/>
        </w:rPr>
        <w:t>, L</w:t>
      </w:r>
      <w:r w:rsidR="009D0459" w:rsidRPr="0044090D">
        <w:rPr>
          <w:lang w:val="en-GB"/>
        </w:rPr>
        <w:t>egal Notice 269 of 2013</w:t>
      </w:r>
      <w:r w:rsidR="0023365C">
        <w:rPr>
          <w:lang w:val="en-GB"/>
        </w:rPr>
        <w:t xml:space="preserve"> (LN 269/2013)</w:t>
      </w:r>
      <w:r w:rsidR="0021323B">
        <w:rPr>
          <w:lang w:val="en-GB"/>
        </w:rPr>
        <w:t>.</w:t>
      </w:r>
      <w:r w:rsidR="009D0459" w:rsidRPr="0044090D">
        <w:rPr>
          <w:rStyle w:val="FootnoteReference"/>
          <w:lang w:val="en-GB"/>
        </w:rPr>
        <w:footnoteReference w:id="12"/>
      </w:r>
      <w:r w:rsidRPr="0044090D">
        <w:rPr>
          <w:lang w:val="en-GB"/>
        </w:rPr>
        <w:t xml:space="preserve"> It is </w:t>
      </w:r>
      <w:r w:rsidR="00C3570B" w:rsidRPr="0044090D">
        <w:rPr>
          <w:lang w:val="en-GB"/>
        </w:rPr>
        <w:t>a government agency</w:t>
      </w:r>
      <w:r w:rsidR="000E72A0" w:rsidRPr="0044090D">
        <w:rPr>
          <w:lang w:val="en-GB"/>
        </w:rPr>
        <w:t xml:space="preserve"> tasked with carrying out functions and duties of the public administration in a number of matters, </w:t>
      </w:r>
      <w:r w:rsidR="000E72A0" w:rsidRPr="0044090D">
        <w:rPr>
          <w:i/>
          <w:lang w:val="en-GB"/>
        </w:rPr>
        <w:t>inter alia</w:t>
      </w:r>
      <w:r w:rsidR="000E72A0" w:rsidRPr="0044090D">
        <w:rPr>
          <w:lang w:val="en-GB"/>
        </w:rPr>
        <w:t>:</w:t>
      </w:r>
    </w:p>
    <w:p w14:paraId="5231D7CE" w14:textId="77777777" w:rsidR="000E72A0" w:rsidRPr="0044090D" w:rsidRDefault="00A937F0" w:rsidP="009D3BE3">
      <w:pPr>
        <w:pStyle w:val="MMultilevel"/>
        <w:numPr>
          <w:ilvl w:val="0"/>
          <w:numId w:val="29"/>
        </w:numPr>
        <w:rPr>
          <w:color w:val="000000" w:themeColor="text1"/>
          <w:lang w:val="en-GB"/>
        </w:rPr>
      </w:pPr>
      <w:r w:rsidRPr="0044090D">
        <w:rPr>
          <w:color w:val="000000" w:themeColor="text1"/>
          <w:lang w:val="en-GB"/>
        </w:rPr>
        <w:t>Citizenship</w:t>
      </w:r>
      <w:r w:rsidR="000E72A0" w:rsidRPr="0044090D">
        <w:rPr>
          <w:color w:val="000000" w:themeColor="text1"/>
          <w:lang w:val="en-GB"/>
        </w:rPr>
        <w:t>, visas, residence permits, work permits and other administrative matters related to expatriates;</w:t>
      </w:r>
    </w:p>
    <w:p w14:paraId="5D30E189" w14:textId="77777777" w:rsidR="000E72A0" w:rsidRPr="0044090D" w:rsidRDefault="00A937F0" w:rsidP="009D3BE3">
      <w:pPr>
        <w:pStyle w:val="MMultilevel"/>
        <w:numPr>
          <w:ilvl w:val="0"/>
          <w:numId w:val="29"/>
        </w:numPr>
        <w:rPr>
          <w:color w:val="FF0000"/>
          <w:lang w:val="en-GB"/>
        </w:rPr>
      </w:pPr>
      <w:r w:rsidRPr="0044090D">
        <w:rPr>
          <w:color w:val="000000" w:themeColor="text1"/>
          <w:lang w:val="en-GB"/>
        </w:rPr>
        <w:t>Passports</w:t>
      </w:r>
      <w:r w:rsidR="000E72A0" w:rsidRPr="0044090D">
        <w:rPr>
          <w:color w:val="000000" w:themeColor="text1"/>
          <w:lang w:val="en-GB"/>
        </w:rPr>
        <w:t>;</w:t>
      </w:r>
    </w:p>
    <w:p w14:paraId="37492D98" w14:textId="77777777" w:rsidR="000E72A0" w:rsidRPr="0044090D" w:rsidRDefault="00A937F0" w:rsidP="009D3BE3">
      <w:pPr>
        <w:pStyle w:val="MMultilevel"/>
        <w:numPr>
          <w:ilvl w:val="0"/>
          <w:numId w:val="29"/>
        </w:numPr>
        <w:rPr>
          <w:color w:val="FF0000"/>
          <w:lang w:val="en-GB"/>
        </w:rPr>
      </w:pPr>
      <w:r w:rsidRPr="0044090D">
        <w:rPr>
          <w:color w:val="000000" w:themeColor="text1"/>
          <w:lang w:val="en-GB"/>
        </w:rPr>
        <w:t>Individual</w:t>
      </w:r>
      <w:r w:rsidR="000E72A0" w:rsidRPr="0044090D">
        <w:rPr>
          <w:color w:val="000000" w:themeColor="text1"/>
          <w:lang w:val="en-GB"/>
        </w:rPr>
        <w:t xml:space="preserve"> investment programmes for expatriates or for persons who acquire </w:t>
      </w:r>
      <w:r w:rsidR="009D0459" w:rsidRPr="0044090D">
        <w:rPr>
          <w:color w:val="000000" w:themeColor="text1"/>
          <w:lang w:val="en-GB"/>
        </w:rPr>
        <w:t>Maltese</w:t>
      </w:r>
      <w:r w:rsidR="000E72A0" w:rsidRPr="0044090D">
        <w:rPr>
          <w:color w:val="000000" w:themeColor="text1"/>
          <w:lang w:val="en-GB"/>
        </w:rPr>
        <w:t xml:space="preserve"> </w:t>
      </w:r>
      <w:r w:rsidR="009D0459" w:rsidRPr="0044090D">
        <w:rPr>
          <w:color w:val="000000" w:themeColor="text1"/>
          <w:lang w:val="en-GB"/>
        </w:rPr>
        <w:t>citizenship</w:t>
      </w:r>
      <w:r w:rsidR="000E72A0" w:rsidRPr="0044090D">
        <w:rPr>
          <w:color w:val="000000" w:themeColor="text1"/>
          <w:lang w:val="en-GB"/>
        </w:rPr>
        <w:t>, including the administration of funds deriving from such programmes</w:t>
      </w:r>
      <w:r w:rsidR="0081051E">
        <w:rPr>
          <w:color w:val="000000" w:themeColor="text1"/>
          <w:lang w:val="en-GB"/>
        </w:rPr>
        <w:t>.</w:t>
      </w:r>
      <w:r w:rsidR="009D0459" w:rsidRPr="0044090D">
        <w:rPr>
          <w:rStyle w:val="FootnoteReference"/>
          <w:color w:val="000000" w:themeColor="text1"/>
          <w:lang w:val="en-GB"/>
        </w:rPr>
        <w:footnoteReference w:id="13"/>
      </w:r>
    </w:p>
    <w:p w14:paraId="0D66FE7B" w14:textId="77777777" w:rsidR="007203A6" w:rsidRPr="0044090D" w:rsidRDefault="007203A6" w:rsidP="007203A6">
      <w:pPr>
        <w:pStyle w:val="MMultilevel"/>
        <w:numPr>
          <w:ilvl w:val="0"/>
          <w:numId w:val="0"/>
        </w:numPr>
        <w:rPr>
          <w:color w:val="000000" w:themeColor="text1"/>
          <w:lang w:val="en-GB"/>
        </w:rPr>
      </w:pPr>
    </w:p>
    <w:p w14:paraId="433D7B7E" w14:textId="77777777" w:rsidR="00E7150C" w:rsidRPr="0044090D" w:rsidRDefault="00E7150C" w:rsidP="000D3F29">
      <w:pPr>
        <w:pStyle w:val="MBT"/>
        <w:rPr>
          <w:lang w:val="en-GB"/>
        </w:rPr>
      </w:pPr>
      <w:r w:rsidRPr="0044090D">
        <w:rPr>
          <w:lang w:val="en-GB"/>
        </w:rPr>
        <w:t>This is in line with the Fourth Schedule to the Public Administration Act</w:t>
      </w:r>
      <w:r w:rsidR="0081051E">
        <w:rPr>
          <w:lang w:val="en-GB"/>
        </w:rPr>
        <w:t>,</w:t>
      </w:r>
      <w:r w:rsidRPr="0044090D">
        <w:rPr>
          <w:rStyle w:val="FootnoteReference"/>
          <w:lang w:val="en-GB"/>
        </w:rPr>
        <w:footnoteReference w:id="14"/>
      </w:r>
      <w:r w:rsidRPr="0044090D">
        <w:rPr>
          <w:lang w:val="en-GB"/>
        </w:rPr>
        <w:t xml:space="preserve"> stating that Identity Malta’s functions are to ‘execute the functions and duties of the public administration in matters relating to passports, identity documents, work and residence permits for expatriates, land registration and registration of public deeds, acts of civil status and individual investment programmes’.</w:t>
      </w:r>
    </w:p>
    <w:p w14:paraId="28B75D34" w14:textId="77777777" w:rsidR="009D0459" w:rsidRPr="0044090D" w:rsidRDefault="009D0459" w:rsidP="000E72A0">
      <w:pPr>
        <w:pStyle w:val="MMultilevel"/>
        <w:numPr>
          <w:ilvl w:val="0"/>
          <w:numId w:val="0"/>
        </w:numPr>
        <w:ind w:left="425" w:hanging="425"/>
        <w:rPr>
          <w:color w:val="000000" w:themeColor="text1"/>
          <w:lang w:val="en-GB"/>
        </w:rPr>
      </w:pPr>
    </w:p>
    <w:p w14:paraId="1D7F51DC" w14:textId="63D84A1D" w:rsidR="00E7150C" w:rsidRDefault="009D0459" w:rsidP="000D3F29">
      <w:pPr>
        <w:pStyle w:val="MMultilevel"/>
        <w:numPr>
          <w:ilvl w:val="0"/>
          <w:numId w:val="0"/>
        </w:numPr>
        <w:rPr>
          <w:color w:val="000000" w:themeColor="text1"/>
          <w:lang w:val="en-GB"/>
        </w:rPr>
      </w:pPr>
      <w:r w:rsidRPr="0044090D">
        <w:rPr>
          <w:color w:val="000000" w:themeColor="text1"/>
          <w:lang w:val="en-GB"/>
        </w:rPr>
        <w:t>The Minister responsible for identity management</w:t>
      </w:r>
      <w:r w:rsidR="00E7150C" w:rsidRPr="0044090D">
        <w:rPr>
          <w:color w:val="000000" w:themeColor="text1"/>
          <w:lang w:val="en-GB"/>
        </w:rPr>
        <w:t xml:space="preserve"> - currently the Ministry of Justice, Culture and Local Government -</w:t>
      </w:r>
      <w:r w:rsidRPr="0044090D">
        <w:rPr>
          <w:color w:val="000000" w:themeColor="text1"/>
          <w:lang w:val="en-GB"/>
        </w:rPr>
        <w:t xml:space="preserve"> is responsible for Identity Malta</w:t>
      </w:r>
      <w:r w:rsidR="0081051E">
        <w:rPr>
          <w:color w:val="000000" w:themeColor="text1"/>
          <w:lang w:val="en-GB"/>
        </w:rPr>
        <w:t>.</w:t>
      </w:r>
      <w:r w:rsidRPr="0044090D">
        <w:rPr>
          <w:rStyle w:val="FootnoteReference"/>
          <w:color w:val="000000" w:themeColor="text1"/>
          <w:lang w:val="en-GB"/>
        </w:rPr>
        <w:footnoteReference w:id="15"/>
      </w:r>
      <w:r w:rsidRPr="0044090D">
        <w:rPr>
          <w:color w:val="000000" w:themeColor="text1"/>
          <w:lang w:val="en-GB"/>
        </w:rPr>
        <w:t xml:space="preserve"> </w:t>
      </w:r>
      <w:r w:rsidR="00E7150C" w:rsidRPr="0044090D">
        <w:rPr>
          <w:color w:val="000000" w:themeColor="text1"/>
          <w:lang w:val="en-GB"/>
        </w:rPr>
        <w:t>When these matters consist of or include the administration or investment of funds, the Minister responsible for identity management must act with the concurrence of the Minister responsible for finance.</w:t>
      </w:r>
      <w:r w:rsidR="00001B8D">
        <w:rPr>
          <w:rStyle w:val="FootnoteReference"/>
          <w:color w:val="000000" w:themeColor="text1"/>
          <w:lang w:val="en-GB"/>
        </w:rPr>
        <w:footnoteReference w:id="16"/>
      </w:r>
      <w:r w:rsidR="00E7150C" w:rsidRPr="0044090D">
        <w:rPr>
          <w:color w:val="000000" w:themeColor="text1"/>
          <w:lang w:val="en-GB"/>
        </w:rPr>
        <w:t xml:space="preserve"> </w:t>
      </w:r>
    </w:p>
    <w:p w14:paraId="7BA03125" w14:textId="4B8A46E3" w:rsidR="00001B8D" w:rsidRDefault="00001B8D" w:rsidP="000D3F29">
      <w:pPr>
        <w:pStyle w:val="MMultilevel"/>
        <w:numPr>
          <w:ilvl w:val="0"/>
          <w:numId w:val="0"/>
        </w:numPr>
        <w:rPr>
          <w:color w:val="000000" w:themeColor="text1"/>
          <w:lang w:val="en-GB"/>
        </w:rPr>
      </w:pPr>
    </w:p>
    <w:p w14:paraId="215CB6BB" w14:textId="076B5698" w:rsidR="005F42FB" w:rsidRDefault="005F42FB" w:rsidP="000D3F29">
      <w:pPr>
        <w:pStyle w:val="MMultilevel"/>
        <w:numPr>
          <w:ilvl w:val="0"/>
          <w:numId w:val="0"/>
        </w:numPr>
        <w:rPr>
          <w:color w:val="000000" w:themeColor="text1"/>
          <w:lang w:val="en-GB"/>
        </w:rPr>
      </w:pPr>
      <w:r>
        <w:rPr>
          <w:color w:val="000000" w:themeColor="text1"/>
          <w:lang w:val="en-GB"/>
        </w:rPr>
        <w:t xml:space="preserve">On 29 March 2018, </w:t>
      </w:r>
      <w:r w:rsidR="00001B8D">
        <w:rPr>
          <w:color w:val="000000" w:themeColor="text1"/>
          <w:lang w:val="en-GB"/>
        </w:rPr>
        <w:t xml:space="preserve">LN 269/2013 was amended </w:t>
      </w:r>
      <w:r>
        <w:rPr>
          <w:color w:val="000000" w:themeColor="text1"/>
          <w:lang w:val="en-GB"/>
        </w:rPr>
        <w:t>by Legal Notice 95 of 2018</w:t>
      </w:r>
      <w:r>
        <w:rPr>
          <w:rStyle w:val="FootnoteReference"/>
          <w:color w:val="000000" w:themeColor="text1"/>
          <w:lang w:val="en-GB"/>
        </w:rPr>
        <w:footnoteReference w:id="17"/>
      </w:r>
      <w:r>
        <w:rPr>
          <w:color w:val="000000" w:themeColor="text1"/>
          <w:lang w:val="en-GB"/>
        </w:rPr>
        <w:t xml:space="preserve"> </w:t>
      </w:r>
      <w:r w:rsidR="00001B8D">
        <w:rPr>
          <w:color w:val="000000" w:themeColor="text1"/>
          <w:lang w:val="en-GB"/>
        </w:rPr>
        <w:t xml:space="preserve">to </w:t>
      </w:r>
      <w:r>
        <w:rPr>
          <w:color w:val="000000" w:themeColor="text1"/>
          <w:lang w:val="en-GB"/>
        </w:rPr>
        <w:t>provide</w:t>
      </w:r>
      <w:r w:rsidR="00001B8D">
        <w:rPr>
          <w:color w:val="000000" w:themeColor="text1"/>
          <w:lang w:val="en-GB"/>
        </w:rPr>
        <w:t xml:space="preserve"> for the setting up of a </w:t>
      </w:r>
      <w:r>
        <w:rPr>
          <w:color w:val="000000" w:themeColor="text1"/>
          <w:lang w:val="en-GB"/>
        </w:rPr>
        <w:t xml:space="preserve">five-member </w:t>
      </w:r>
      <w:r w:rsidR="00001B8D">
        <w:rPr>
          <w:color w:val="000000" w:themeColor="text1"/>
          <w:lang w:val="en-GB"/>
        </w:rPr>
        <w:t>Board of Directors appointed by the Minister responsible for identity management.</w:t>
      </w:r>
      <w:r w:rsidR="00CD1682">
        <w:rPr>
          <w:rStyle w:val="FootnoteReference"/>
          <w:color w:val="000000" w:themeColor="text1"/>
          <w:lang w:val="en-GB"/>
        </w:rPr>
        <w:footnoteReference w:id="18"/>
      </w:r>
      <w:r w:rsidR="00001B8D">
        <w:rPr>
          <w:color w:val="000000" w:themeColor="text1"/>
          <w:lang w:val="en-GB"/>
        </w:rPr>
        <w:t xml:space="preserve"> The Directors are non-Executive </w:t>
      </w:r>
      <w:r>
        <w:rPr>
          <w:color w:val="000000" w:themeColor="text1"/>
          <w:lang w:val="en-GB"/>
        </w:rPr>
        <w:t>Directors</w:t>
      </w:r>
      <w:r w:rsidR="00001B8D">
        <w:rPr>
          <w:color w:val="000000" w:themeColor="text1"/>
          <w:lang w:val="en-GB"/>
        </w:rPr>
        <w:t xml:space="preserve">, each having one vote. </w:t>
      </w:r>
      <w:r>
        <w:rPr>
          <w:color w:val="000000" w:themeColor="text1"/>
          <w:lang w:val="en-GB"/>
        </w:rPr>
        <w:t>One</w:t>
      </w:r>
      <w:r w:rsidR="00001B8D">
        <w:rPr>
          <w:color w:val="000000" w:themeColor="text1"/>
          <w:lang w:val="en-GB"/>
        </w:rPr>
        <w:t xml:space="preserve"> of the</w:t>
      </w:r>
      <w:r>
        <w:rPr>
          <w:color w:val="000000" w:themeColor="text1"/>
          <w:lang w:val="en-GB"/>
        </w:rPr>
        <w:t xml:space="preserve"> five Directors is a non</w:t>
      </w:r>
      <w:r w:rsidR="00001B8D">
        <w:rPr>
          <w:color w:val="000000" w:themeColor="text1"/>
          <w:lang w:val="en-GB"/>
        </w:rPr>
        <w:t>-Executive Chairperson.</w:t>
      </w:r>
      <w:r w:rsidR="00CD1682">
        <w:rPr>
          <w:rStyle w:val="FootnoteReference"/>
          <w:color w:val="000000" w:themeColor="text1"/>
          <w:lang w:val="en-GB"/>
        </w:rPr>
        <w:footnoteReference w:id="19"/>
      </w:r>
      <w:r>
        <w:rPr>
          <w:color w:val="000000" w:themeColor="text1"/>
          <w:lang w:val="en-GB"/>
        </w:rPr>
        <w:t xml:space="preserve"> The amendments also set up the office of the ‘Chief Executive Officer, Identity Management and Ancillary Services’, appointed by the Minister and responsible for the performance, functions, duties and daily management of </w:t>
      </w:r>
      <w:r w:rsidR="00CD1682">
        <w:rPr>
          <w:color w:val="000000" w:themeColor="text1"/>
          <w:lang w:val="en-GB"/>
        </w:rPr>
        <w:t>Identity Malta</w:t>
      </w:r>
      <w:r w:rsidR="007B2297">
        <w:rPr>
          <w:color w:val="000000" w:themeColor="text1"/>
          <w:lang w:val="en-GB"/>
        </w:rPr>
        <w:t>.</w:t>
      </w:r>
      <w:r w:rsidR="00CD1682">
        <w:rPr>
          <w:rStyle w:val="FootnoteReference"/>
          <w:color w:val="000000" w:themeColor="text1"/>
          <w:lang w:val="en-GB"/>
        </w:rPr>
        <w:footnoteReference w:id="20"/>
      </w:r>
      <w:r>
        <w:rPr>
          <w:color w:val="000000" w:themeColor="text1"/>
          <w:lang w:val="en-GB"/>
        </w:rPr>
        <w:t xml:space="preserve"> The Chief Executive Officer is answerable to the Board of Directors and is vested with the legal and judicial representation of Identity Malta.</w:t>
      </w:r>
      <w:r>
        <w:rPr>
          <w:rStyle w:val="FootnoteReference"/>
          <w:color w:val="000000" w:themeColor="text1"/>
          <w:lang w:val="en-GB"/>
        </w:rPr>
        <w:footnoteReference w:id="21"/>
      </w:r>
    </w:p>
    <w:p w14:paraId="7E01480B" w14:textId="6D9DBFA0" w:rsidR="0045216F" w:rsidRDefault="0045216F" w:rsidP="000D3F29">
      <w:pPr>
        <w:pStyle w:val="MMultilevel"/>
        <w:numPr>
          <w:ilvl w:val="0"/>
          <w:numId w:val="0"/>
        </w:numPr>
        <w:rPr>
          <w:color w:val="000000" w:themeColor="text1"/>
          <w:lang w:val="en-GB"/>
        </w:rPr>
      </w:pPr>
    </w:p>
    <w:p w14:paraId="57CD523D" w14:textId="2F5C0F6F" w:rsidR="0045216F" w:rsidRDefault="005F42FB" w:rsidP="000D3F29">
      <w:pPr>
        <w:pStyle w:val="MMultilevel"/>
        <w:numPr>
          <w:ilvl w:val="0"/>
          <w:numId w:val="0"/>
        </w:numPr>
        <w:rPr>
          <w:color w:val="000000" w:themeColor="text1"/>
          <w:lang w:val="en-GB"/>
        </w:rPr>
      </w:pPr>
      <w:r>
        <w:rPr>
          <w:color w:val="000000" w:themeColor="text1"/>
          <w:lang w:val="en-GB"/>
        </w:rPr>
        <w:t xml:space="preserve">At the same time, </w:t>
      </w:r>
      <w:r w:rsidR="00221CAE">
        <w:rPr>
          <w:color w:val="000000" w:themeColor="text1"/>
          <w:lang w:val="en-GB"/>
        </w:rPr>
        <w:t xml:space="preserve">the Malta </w:t>
      </w:r>
      <w:r w:rsidR="00AC6EE0">
        <w:rPr>
          <w:color w:val="000000" w:themeColor="text1"/>
          <w:lang w:val="en-GB"/>
        </w:rPr>
        <w:t>Individual</w:t>
      </w:r>
      <w:r w:rsidR="00221CAE">
        <w:rPr>
          <w:color w:val="000000" w:themeColor="text1"/>
          <w:lang w:val="en-GB"/>
        </w:rPr>
        <w:t xml:space="preserve"> Investor Programme Agency (</w:t>
      </w:r>
      <w:r w:rsidR="00AC6EE0">
        <w:rPr>
          <w:color w:val="000000" w:themeColor="text1"/>
          <w:lang w:val="en-GB"/>
        </w:rPr>
        <w:t>Establishment</w:t>
      </w:r>
      <w:r w:rsidR="00221CAE">
        <w:rPr>
          <w:color w:val="000000" w:themeColor="text1"/>
          <w:lang w:val="en-GB"/>
        </w:rPr>
        <w:t xml:space="preserve">) Order, Legal Notice 96 of 2018 </w:t>
      </w:r>
      <w:r w:rsidR="001560E4">
        <w:rPr>
          <w:color w:val="000000" w:themeColor="text1"/>
          <w:lang w:val="en-GB"/>
        </w:rPr>
        <w:t>(LN 96/</w:t>
      </w:r>
      <w:r>
        <w:rPr>
          <w:color w:val="000000" w:themeColor="text1"/>
          <w:lang w:val="en-GB"/>
        </w:rPr>
        <w:t>2018)</w:t>
      </w:r>
      <w:r>
        <w:rPr>
          <w:rStyle w:val="FootnoteReference"/>
          <w:color w:val="000000" w:themeColor="text1"/>
          <w:lang w:val="en-GB"/>
        </w:rPr>
        <w:footnoteReference w:id="22"/>
      </w:r>
      <w:r>
        <w:rPr>
          <w:color w:val="000000" w:themeColor="text1"/>
          <w:lang w:val="en-GB"/>
        </w:rPr>
        <w:t xml:space="preserve"> </w:t>
      </w:r>
      <w:r w:rsidR="00221CAE">
        <w:rPr>
          <w:color w:val="000000" w:themeColor="text1"/>
          <w:lang w:val="en-GB"/>
        </w:rPr>
        <w:t xml:space="preserve">was adopted. It sets up the </w:t>
      </w:r>
      <w:r w:rsidR="00AC6EE0" w:rsidRPr="005F42FB">
        <w:rPr>
          <w:color w:val="000000" w:themeColor="text1"/>
          <w:lang w:val="en-GB"/>
        </w:rPr>
        <w:t>Malta I</w:t>
      </w:r>
      <w:r w:rsidR="00221CAE" w:rsidRPr="005F42FB">
        <w:rPr>
          <w:color w:val="000000" w:themeColor="text1"/>
          <w:lang w:val="en-GB"/>
        </w:rPr>
        <w:t>ndividual Investor Programme Agency</w:t>
      </w:r>
      <w:r w:rsidR="00261841">
        <w:rPr>
          <w:color w:val="000000" w:themeColor="text1"/>
          <w:lang w:val="en-GB"/>
        </w:rPr>
        <w:t xml:space="preserve"> (IIP Agency)</w:t>
      </w:r>
      <w:r w:rsidR="00221CAE">
        <w:rPr>
          <w:color w:val="000000" w:themeColor="text1"/>
          <w:lang w:val="en-GB"/>
        </w:rPr>
        <w:t xml:space="preserve"> to carry out functions and duties of public administration in the following matters:</w:t>
      </w:r>
    </w:p>
    <w:p w14:paraId="7D53D78C" w14:textId="293EED86" w:rsidR="00221CAE" w:rsidRDefault="005F42FB" w:rsidP="00C46E63">
      <w:pPr>
        <w:pStyle w:val="MMultilevel"/>
        <w:numPr>
          <w:ilvl w:val="0"/>
          <w:numId w:val="34"/>
        </w:numPr>
        <w:rPr>
          <w:color w:val="000000" w:themeColor="text1"/>
          <w:lang w:val="en-GB"/>
        </w:rPr>
      </w:pPr>
      <w:r>
        <w:rPr>
          <w:color w:val="000000" w:themeColor="text1"/>
          <w:lang w:val="en-GB"/>
        </w:rPr>
        <w:t>Administration of</w:t>
      </w:r>
      <w:r w:rsidR="00221CAE">
        <w:rPr>
          <w:color w:val="000000" w:themeColor="text1"/>
          <w:lang w:val="en-GB"/>
        </w:rPr>
        <w:t xml:space="preserve"> the IIP;</w:t>
      </w:r>
    </w:p>
    <w:p w14:paraId="34063E1F" w14:textId="7A3C295F" w:rsidR="00221CAE" w:rsidRDefault="005F42FB" w:rsidP="00C46E63">
      <w:pPr>
        <w:pStyle w:val="MMultilevel"/>
        <w:numPr>
          <w:ilvl w:val="0"/>
          <w:numId w:val="34"/>
        </w:numPr>
        <w:rPr>
          <w:color w:val="000000" w:themeColor="text1"/>
          <w:lang w:val="en-GB"/>
        </w:rPr>
      </w:pPr>
      <w:r>
        <w:rPr>
          <w:color w:val="000000" w:themeColor="text1"/>
          <w:lang w:val="en-GB"/>
        </w:rPr>
        <w:t>Cooperation</w:t>
      </w:r>
      <w:r w:rsidR="00221CAE">
        <w:rPr>
          <w:color w:val="000000" w:themeColor="text1"/>
          <w:lang w:val="en-GB"/>
        </w:rPr>
        <w:t xml:space="preserve"> with Identity </w:t>
      </w:r>
      <w:r>
        <w:rPr>
          <w:color w:val="000000" w:themeColor="text1"/>
          <w:lang w:val="en-GB"/>
        </w:rPr>
        <w:t>Malta</w:t>
      </w:r>
      <w:r w:rsidR="00221CAE">
        <w:rPr>
          <w:color w:val="000000" w:themeColor="text1"/>
          <w:lang w:val="en-GB"/>
        </w:rPr>
        <w:t xml:space="preserve"> in all matters, including the setup and implementation of strategies and policies;</w:t>
      </w:r>
    </w:p>
    <w:p w14:paraId="44E97D73" w14:textId="79C8F109" w:rsidR="00221CAE" w:rsidRDefault="005F42FB" w:rsidP="00C46E63">
      <w:pPr>
        <w:pStyle w:val="MMultilevel"/>
        <w:numPr>
          <w:ilvl w:val="0"/>
          <w:numId w:val="34"/>
        </w:numPr>
        <w:rPr>
          <w:color w:val="000000" w:themeColor="text1"/>
          <w:lang w:val="en-GB"/>
        </w:rPr>
      </w:pPr>
      <w:r>
        <w:rPr>
          <w:color w:val="000000" w:themeColor="text1"/>
          <w:lang w:val="en-GB"/>
        </w:rPr>
        <w:t>Performing</w:t>
      </w:r>
      <w:r w:rsidR="00221CAE">
        <w:rPr>
          <w:color w:val="000000" w:themeColor="text1"/>
          <w:lang w:val="en-GB"/>
        </w:rPr>
        <w:t xml:space="preserve"> all such matters ‘ancillary, incidental or consequential’ to the matters listed above as the Minister responsible for identity management may from time to time determine.</w:t>
      </w:r>
      <w:r w:rsidR="001560E4">
        <w:rPr>
          <w:rStyle w:val="FootnoteReference"/>
          <w:color w:val="000000" w:themeColor="text1"/>
          <w:lang w:val="en-GB"/>
        </w:rPr>
        <w:footnoteReference w:id="23"/>
      </w:r>
    </w:p>
    <w:p w14:paraId="10B94D37" w14:textId="77777777" w:rsidR="005F42FB" w:rsidRDefault="005F42FB" w:rsidP="00C46E63">
      <w:pPr>
        <w:pStyle w:val="MMultilevel"/>
        <w:numPr>
          <w:ilvl w:val="0"/>
          <w:numId w:val="0"/>
        </w:numPr>
        <w:ind w:left="425" w:hanging="425"/>
        <w:rPr>
          <w:color w:val="000000" w:themeColor="text1"/>
          <w:lang w:val="en-GB"/>
        </w:rPr>
      </w:pPr>
    </w:p>
    <w:p w14:paraId="0C092882" w14:textId="69D75918" w:rsidR="00261841" w:rsidRDefault="00221CAE" w:rsidP="00261841">
      <w:pPr>
        <w:pStyle w:val="MMultilevel"/>
        <w:numPr>
          <w:ilvl w:val="0"/>
          <w:numId w:val="0"/>
        </w:numPr>
        <w:rPr>
          <w:color w:val="000000" w:themeColor="text1"/>
          <w:lang w:val="en-GB"/>
        </w:rPr>
      </w:pPr>
      <w:r>
        <w:rPr>
          <w:color w:val="000000" w:themeColor="text1"/>
          <w:lang w:val="en-GB"/>
        </w:rPr>
        <w:lastRenderedPageBreak/>
        <w:t xml:space="preserve">The Minister responsible for identity </w:t>
      </w:r>
      <w:r w:rsidR="00AC6EE0">
        <w:rPr>
          <w:color w:val="000000" w:themeColor="text1"/>
          <w:lang w:val="en-GB"/>
        </w:rPr>
        <w:t>management</w:t>
      </w:r>
      <w:r>
        <w:rPr>
          <w:color w:val="000000" w:themeColor="text1"/>
          <w:lang w:val="en-GB"/>
        </w:rPr>
        <w:t xml:space="preserve"> is responsible for the </w:t>
      </w:r>
      <w:r w:rsidR="00261841">
        <w:rPr>
          <w:color w:val="000000" w:themeColor="text1"/>
          <w:lang w:val="en-GB"/>
        </w:rPr>
        <w:t>IIP</w:t>
      </w:r>
      <w:r>
        <w:rPr>
          <w:color w:val="000000" w:themeColor="text1"/>
          <w:lang w:val="en-GB"/>
        </w:rPr>
        <w:t xml:space="preserve"> Agency.</w:t>
      </w:r>
      <w:r w:rsidR="001560E4">
        <w:rPr>
          <w:rStyle w:val="FootnoteReference"/>
          <w:color w:val="000000" w:themeColor="text1"/>
          <w:lang w:val="en-GB"/>
        </w:rPr>
        <w:footnoteReference w:id="24"/>
      </w:r>
      <w:r w:rsidR="005F42FB">
        <w:rPr>
          <w:color w:val="000000" w:themeColor="text1"/>
          <w:lang w:val="en-GB"/>
        </w:rPr>
        <w:t xml:space="preserve"> </w:t>
      </w:r>
      <w:r>
        <w:rPr>
          <w:color w:val="000000" w:themeColor="text1"/>
          <w:lang w:val="en-GB"/>
        </w:rPr>
        <w:t xml:space="preserve">The </w:t>
      </w:r>
      <w:r w:rsidR="00261841">
        <w:rPr>
          <w:color w:val="000000" w:themeColor="text1"/>
          <w:lang w:val="en-GB"/>
        </w:rPr>
        <w:t xml:space="preserve">IIP </w:t>
      </w:r>
      <w:r w:rsidR="00AC6EE0">
        <w:rPr>
          <w:color w:val="000000" w:themeColor="text1"/>
          <w:lang w:val="en-GB"/>
        </w:rPr>
        <w:t>Agency</w:t>
      </w:r>
      <w:r>
        <w:rPr>
          <w:color w:val="000000" w:themeColor="text1"/>
          <w:lang w:val="en-GB"/>
        </w:rPr>
        <w:t xml:space="preserve"> is directed by a Board of Directors appointed by the Minister and some of the Board’s members must be </w:t>
      </w:r>
      <w:r w:rsidR="005F42FB">
        <w:rPr>
          <w:color w:val="000000" w:themeColor="text1"/>
          <w:lang w:val="en-GB"/>
        </w:rPr>
        <w:t>involved</w:t>
      </w:r>
      <w:r>
        <w:rPr>
          <w:color w:val="000000" w:themeColor="text1"/>
          <w:lang w:val="en-GB"/>
        </w:rPr>
        <w:t xml:space="preserve"> in the </w:t>
      </w:r>
      <w:r w:rsidR="00845380">
        <w:rPr>
          <w:color w:val="000000" w:themeColor="text1"/>
          <w:lang w:val="en-GB"/>
        </w:rPr>
        <w:t>direction</w:t>
      </w:r>
      <w:r>
        <w:rPr>
          <w:color w:val="000000" w:themeColor="text1"/>
          <w:lang w:val="en-GB"/>
        </w:rPr>
        <w:t xml:space="preserve"> of Identity Malta.</w:t>
      </w:r>
      <w:r w:rsidR="001560E4">
        <w:rPr>
          <w:rStyle w:val="FootnoteReference"/>
          <w:color w:val="000000" w:themeColor="text1"/>
          <w:lang w:val="en-GB"/>
        </w:rPr>
        <w:footnoteReference w:id="25"/>
      </w:r>
      <w:r>
        <w:rPr>
          <w:color w:val="000000" w:themeColor="text1"/>
          <w:lang w:val="en-GB"/>
        </w:rPr>
        <w:t xml:space="preserve"> The </w:t>
      </w:r>
      <w:r w:rsidR="005F42FB">
        <w:rPr>
          <w:color w:val="000000" w:themeColor="text1"/>
          <w:lang w:val="en-GB"/>
        </w:rPr>
        <w:t>Board</w:t>
      </w:r>
      <w:r>
        <w:rPr>
          <w:color w:val="000000" w:themeColor="text1"/>
          <w:lang w:val="en-GB"/>
        </w:rPr>
        <w:t xml:space="preserve"> is composed of five Directors appointed by the Minister. One of the Directors is appointed by the Minister as the Chairperson of the Board.</w:t>
      </w:r>
      <w:r w:rsidR="001560E4">
        <w:rPr>
          <w:rStyle w:val="FootnoteReference"/>
          <w:color w:val="000000" w:themeColor="text1"/>
          <w:lang w:val="en-GB"/>
        </w:rPr>
        <w:footnoteReference w:id="26"/>
      </w:r>
      <w:r>
        <w:rPr>
          <w:color w:val="000000" w:themeColor="text1"/>
          <w:lang w:val="en-GB"/>
        </w:rPr>
        <w:t xml:space="preserve"> The </w:t>
      </w:r>
      <w:r w:rsidR="00261841">
        <w:rPr>
          <w:color w:val="000000" w:themeColor="text1"/>
          <w:lang w:val="en-GB"/>
        </w:rPr>
        <w:t xml:space="preserve">IIP </w:t>
      </w:r>
      <w:r>
        <w:rPr>
          <w:color w:val="000000" w:themeColor="text1"/>
          <w:lang w:val="en-GB"/>
        </w:rPr>
        <w:t>Agency also has a Chief Executive Office</w:t>
      </w:r>
      <w:r w:rsidR="00261841">
        <w:rPr>
          <w:color w:val="000000" w:themeColor="text1"/>
          <w:lang w:val="en-GB"/>
        </w:rPr>
        <w:t>r</w:t>
      </w:r>
      <w:r>
        <w:rPr>
          <w:color w:val="000000" w:themeColor="text1"/>
          <w:lang w:val="en-GB"/>
        </w:rPr>
        <w:t xml:space="preserve"> </w:t>
      </w:r>
      <w:r w:rsidR="00261841">
        <w:rPr>
          <w:color w:val="000000" w:themeColor="text1"/>
          <w:lang w:val="en-GB"/>
        </w:rPr>
        <w:t xml:space="preserve">appointed by the Minister and </w:t>
      </w:r>
      <w:r>
        <w:rPr>
          <w:color w:val="000000" w:themeColor="text1"/>
          <w:lang w:val="en-GB"/>
        </w:rPr>
        <w:t>responsible for the performance, functions</w:t>
      </w:r>
      <w:r w:rsidR="00261841">
        <w:rPr>
          <w:color w:val="000000" w:themeColor="text1"/>
          <w:lang w:val="en-GB"/>
        </w:rPr>
        <w:t>,</w:t>
      </w:r>
      <w:r>
        <w:rPr>
          <w:color w:val="000000" w:themeColor="text1"/>
          <w:lang w:val="en-GB"/>
        </w:rPr>
        <w:t xml:space="preserve"> </w:t>
      </w:r>
      <w:r w:rsidR="00261841">
        <w:rPr>
          <w:color w:val="000000" w:themeColor="text1"/>
          <w:lang w:val="en-GB"/>
        </w:rPr>
        <w:t xml:space="preserve">duties and daily </w:t>
      </w:r>
      <w:r>
        <w:rPr>
          <w:color w:val="000000" w:themeColor="text1"/>
          <w:lang w:val="en-GB"/>
        </w:rPr>
        <w:t xml:space="preserve">management of the Agency and </w:t>
      </w:r>
      <w:r w:rsidR="001560E4">
        <w:rPr>
          <w:color w:val="000000" w:themeColor="text1"/>
          <w:lang w:val="en-GB"/>
        </w:rPr>
        <w:t>‘</w:t>
      </w:r>
      <w:r>
        <w:rPr>
          <w:color w:val="000000" w:themeColor="text1"/>
          <w:lang w:val="en-GB"/>
        </w:rPr>
        <w:t>to give his recommendations to the Minister on applications presented, after due diligence checks are performed</w:t>
      </w:r>
      <w:r w:rsidR="00261841">
        <w:rPr>
          <w:color w:val="000000" w:themeColor="text1"/>
          <w:lang w:val="en-GB"/>
        </w:rPr>
        <w:t>’</w:t>
      </w:r>
      <w:r>
        <w:rPr>
          <w:color w:val="000000" w:themeColor="text1"/>
          <w:lang w:val="en-GB"/>
        </w:rPr>
        <w:t>.</w:t>
      </w:r>
      <w:r w:rsidR="001560E4">
        <w:rPr>
          <w:rStyle w:val="FootnoteReference"/>
          <w:color w:val="000000" w:themeColor="text1"/>
          <w:lang w:val="en-GB"/>
        </w:rPr>
        <w:footnoteReference w:id="27"/>
      </w:r>
      <w:r>
        <w:rPr>
          <w:color w:val="000000" w:themeColor="text1"/>
          <w:lang w:val="en-GB"/>
        </w:rPr>
        <w:t xml:space="preserve"> </w:t>
      </w:r>
      <w:r w:rsidR="00261841">
        <w:rPr>
          <w:color w:val="000000" w:themeColor="text1"/>
          <w:lang w:val="en-GB"/>
        </w:rPr>
        <w:t>The Chief Executive Officer is answerable to the Board of Directors and is vested with the legal and judicial representation of the IIP Agency.</w:t>
      </w:r>
      <w:r w:rsidR="00261841">
        <w:rPr>
          <w:rStyle w:val="FootnoteReference"/>
          <w:color w:val="000000" w:themeColor="text1"/>
          <w:lang w:val="en-GB"/>
        </w:rPr>
        <w:footnoteReference w:id="28"/>
      </w:r>
    </w:p>
    <w:p w14:paraId="0581D4C0" w14:textId="60CB73DC" w:rsidR="001560E4" w:rsidRDefault="001560E4" w:rsidP="00261841">
      <w:pPr>
        <w:pStyle w:val="MMultilevel"/>
        <w:numPr>
          <w:ilvl w:val="0"/>
          <w:numId w:val="0"/>
        </w:numPr>
        <w:rPr>
          <w:color w:val="000000" w:themeColor="text1"/>
          <w:lang w:val="en-GB"/>
        </w:rPr>
      </w:pPr>
    </w:p>
    <w:p w14:paraId="78289BE8" w14:textId="79A5D6E8" w:rsidR="001560E4" w:rsidRPr="00C46E63" w:rsidRDefault="001560E4" w:rsidP="00261841">
      <w:pPr>
        <w:pStyle w:val="MMultilevel"/>
        <w:numPr>
          <w:ilvl w:val="0"/>
          <w:numId w:val="0"/>
        </w:numPr>
        <w:rPr>
          <w:lang w:val="en-GB"/>
        </w:rPr>
      </w:pPr>
      <w:r>
        <w:rPr>
          <w:color w:val="000000" w:themeColor="text1"/>
          <w:lang w:val="en-GB"/>
        </w:rPr>
        <w:t xml:space="preserve">The IIP Agency was added to the list of agencies in the </w:t>
      </w:r>
      <w:r w:rsidRPr="0044090D">
        <w:rPr>
          <w:lang w:val="en-GB"/>
        </w:rPr>
        <w:t>Fourth Schedule to the Public Administration Act</w:t>
      </w:r>
      <w:r>
        <w:rPr>
          <w:lang w:val="en-GB"/>
        </w:rPr>
        <w:t xml:space="preserve"> that describes </w:t>
      </w:r>
      <w:r w:rsidR="00F94744">
        <w:rPr>
          <w:lang w:val="en-GB"/>
        </w:rPr>
        <w:t>the Agency’s</w:t>
      </w:r>
      <w:r>
        <w:rPr>
          <w:lang w:val="en-GB"/>
        </w:rPr>
        <w:t xml:space="preserve"> functions as follows: ‘to carry ou</w:t>
      </w:r>
      <w:r w:rsidR="007B2297">
        <w:rPr>
          <w:lang w:val="en-GB"/>
        </w:rPr>
        <w:t>t</w:t>
      </w:r>
      <w:r>
        <w:rPr>
          <w:lang w:val="en-GB"/>
        </w:rPr>
        <w:t xml:space="preserve"> functions and duties of public administration relating to the Individual Investor Programme of the Government of Malta, as established by a</w:t>
      </w:r>
      <w:r w:rsidR="00F94744">
        <w:rPr>
          <w:lang w:val="en-GB"/>
        </w:rPr>
        <w:t xml:space="preserve">nd </w:t>
      </w:r>
      <w:r>
        <w:rPr>
          <w:lang w:val="en-GB"/>
        </w:rPr>
        <w:t>under the Maltese Citizenship Ac</w:t>
      </w:r>
      <w:r w:rsidR="00F94744">
        <w:rPr>
          <w:lang w:val="en-GB"/>
        </w:rPr>
        <w:t>t</w:t>
      </w:r>
      <w:r>
        <w:rPr>
          <w:lang w:val="en-GB"/>
        </w:rPr>
        <w:t xml:space="preserve"> and to cooperate with Identity Malta Agency in all matters including the setup and implementation of </w:t>
      </w:r>
      <w:r w:rsidR="00F94744">
        <w:rPr>
          <w:lang w:val="en-GB"/>
        </w:rPr>
        <w:t>strategies</w:t>
      </w:r>
      <w:r>
        <w:rPr>
          <w:lang w:val="en-GB"/>
        </w:rPr>
        <w:t xml:space="preserve"> and policies’.</w:t>
      </w:r>
    </w:p>
    <w:p w14:paraId="0075A443" w14:textId="1D2B4450" w:rsidR="006603DF" w:rsidRDefault="006603DF" w:rsidP="00F94744">
      <w:pPr>
        <w:pStyle w:val="MMultilevel"/>
        <w:numPr>
          <w:ilvl w:val="0"/>
          <w:numId w:val="0"/>
        </w:numPr>
        <w:rPr>
          <w:color w:val="000000" w:themeColor="text1"/>
          <w:lang w:val="en-GB"/>
        </w:rPr>
      </w:pPr>
    </w:p>
    <w:p w14:paraId="728F3F82" w14:textId="78B82C0E" w:rsidR="006603DF" w:rsidRPr="0044090D" w:rsidRDefault="00F94744" w:rsidP="006603DF">
      <w:pPr>
        <w:pStyle w:val="MMultilevel"/>
        <w:numPr>
          <w:ilvl w:val="0"/>
          <w:numId w:val="0"/>
        </w:numPr>
        <w:rPr>
          <w:color w:val="000000" w:themeColor="text1"/>
          <w:lang w:val="en-GB"/>
        </w:rPr>
      </w:pPr>
      <w:r w:rsidRPr="00042B19">
        <w:rPr>
          <w:color w:val="000000" w:themeColor="text1"/>
          <w:lang w:val="en-GB"/>
        </w:rPr>
        <w:t xml:space="preserve">It is noted that </w:t>
      </w:r>
      <w:r w:rsidR="00845380" w:rsidRPr="00042B19">
        <w:rPr>
          <w:color w:val="000000" w:themeColor="text1"/>
          <w:lang w:val="en-GB"/>
        </w:rPr>
        <w:t xml:space="preserve">LN 47/2014 has not </w:t>
      </w:r>
      <w:r w:rsidR="007B2297" w:rsidRPr="00C46E63">
        <w:rPr>
          <w:color w:val="000000" w:themeColor="text1"/>
          <w:lang w:val="en-GB"/>
        </w:rPr>
        <w:t xml:space="preserve">yet </w:t>
      </w:r>
      <w:r w:rsidR="00845380" w:rsidRPr="00042B19">
        <w:rPr>
          <w:color w:val="000000" w:themeColor="text1"/>
          <w:lang w:val="en-GB"/>
        </w:rPr>
        <w:t>been amended to take into account the</w:t>
      </w:r>
      <w:r w:rsidRPr="00042B19">
        <w:rPr>
          <w:color w:val="000000" w:themeColor="text1"/>
          <w:lang w:val="en-GB"/>
        </w:rPr>
        <w:t xml:space="preserve"> establishment</w:t>
      </w:r>
      <w:r w:rsidR="00845380" w:rsidRPr="00042B19">
        <w:rPr>
          <w:color w:val="000000" w:themeColor="text1"/>
          <w:lang w:val="en-GB"/>
        </w:rPr>
        <w:t xml:space="preserve"> of </w:t>
      </w:r>
      <w:r w:rsidRPr="00042B19">
        <w:rPr>
          <w:color w:val="000000" w:themeColor="text1"/>
          <w:lang w:val="en-GB"/>
        </w:rPr>
        <w:t>the IIP</w:t>
      </w:r>
      <w:r w:rsidR="00845380" w:rsidRPr="00042B19">
        <w:rPr>
          <w:color w:val="000000" w:themeColor="text1"/>
          <w:lang w:val="en-GB"/>
        </w:rPr>
        <w:t xml:space="preserve"> Agency. </w:t>
      </w:r>
      <w:r w:rsidRPr="00C46E63">
        <w:rPr>
          <w:color w:val="000000" w:themeColor="text1"/>
          <w:lang w:val="en-GB"/>
        </w:rPr>
        <w:t>Therefore,</w:t>
      </w:r>
      <w:r w:rsidR="00845380" w:rsidRPr="00C46E63">
        <w:rPr>
          <w:color w:val="000000" w:themeColor="text1"/>
          <w:lang w:val="en-GB"/>
        </w:rPr>
        <w:t xml:space="preserve"> the following Sections of this Report retain references to Identity Malta as the main competent authority</w:t>
      </w:r>
      <w:r w:rsidRPr="00C46E63">
        <w:rPr>
          <w:color w:val="000000" w:themeColor="text1"/>
          <w:lang w:val="en-GB"/>
        </w:rPr>
        <w:t>. No references to the IIP Agency are currently found in LN 47/2014.</w:t>
      </w:r>
    </w:p>
    <w:p w14:paraId="387420B7" w14:textId="77777777" w:rsidR="009D0459" w:rsidRPr="0044090D" w:rsidRDefault="009D0459" w:rsidP="00E7150C">
      <w:pPr>
        <w:pStyle w:val="MMultilevel"/>
        <w:numPr>
          <w:ilvl w:val="0"/>
          <w:numId w:val="0"/>
        </w:numPr>
        <w:ind w:left="425"/>
        <w:rPr>
          <w:color w:val="FF0000"/>
          <w:lang w:val="en-GB"/>
        </w:rPr>
      </w:pPr>
    </w:p>
    <w:p w14:paraId="5A17E45F" w14:textId="77777777" w:rsidR="007E4F06" w:rsidRDefault="007E4F06" w:rsidP="007E4F06">
      <w:pPr>
        <w:pStyle w:val="MBT"/>
        <w:rPr>
          <w:lang w:val="en-GB"/>
        </w:rPr>
      </w:pPr>
    </w:p>
    <w:p w14:paraId="61A0ECD2" w14:textId="77777777" w:rsidR="00AC2EEB" w:rsidRDefault="00AC2EEB" w:rsidP="0081051E">
      <w:pPr>
        <w:pStyle w:val="MH1nonumb"/>
        <w:numPr>
          <w:ilvl w:val="0"/>
          <w:numId w:val="12"/>
        </w:numPr>
        <w:spacing w:after="0"/>
        <w:ind w:left="426" w:hanging="284"/>
      </w:pPr>
      <w:bookmarkStart w:id="4" w:name="_Toc496025533"/>
      <w:bookmarkStart w:id="5" w:name="_Toc496124920"/>
      <w:bookmarkStart w:id="6" w:name="_Toc517766162"/>
      <w:r w:rsidRPr="0044090D">
        <w:lastRenderedPageBreak/>
        <w:t>PROCEDURES, COMPETENT AUTHORITIES AND APPLICABLE CRITERIA</w:t>
      </w:r>
      <w:bookmarkEnd w:id="4"/>
      <w:bookmarkEnd w:id="5"/>
      <w:bookmarkEnd w:id="6"/>
    </w:p>
    <w:p w14:paraId="75AA2C19" w14:textId="77777777" w:rsidR="0081051E" w:rsidRPr="0081051E" w:rsidRDefault="0081051E" w:rsidP="0081051E">
      <w:pPr>
        <w:pStyle w:val="MBT"/>
      </w:pPr>
    </w:p>
    <w:p w14:paraId="1C6AA5EF" w14:textId="77777777" w:rsidR="00666448" w:rsidRPr="000D3F29" w:rsidRDefault="00AC2EEB" w:rsidP="0081051E">
      <w:pPr>
        <w:pStyle w:val="MH1"/>
        <w:pageBreakBefore w:val="0"/>
        <w:spacing w:after="0"/>
        <w:ind w:left="431" w:hanging="431"/>
      </w:pPr>
      <w:bookmarkStart w:id="7" w:name="_Toc496025534"/>
      <w:bookmarkStart w:id="8" w:name="_Toc496124921"/>
      <w:bookmarkStart w:id="9" w:name="_Toc517766163"/>
      <w:r w:rsidRPr="0044090D">
        <w:t>Application Phase</w:t>
      </w:r>
      <w:bookmarkEnd w:id="7"/>
      <w:bookmarkEnd w:id="8"/>
      <w:bookmarkEnd w:id="9"/>
    </w:p>
    <w:p w14:paraId="426C7633" w14:textId="77777777" w:rsidR="00C625F4" w:rsidRPr="0044090D" w:rsidRDefault="00C625F4" w:rsidP="0081051E">
      <w:pPr>
        <w:pStyle w:val="MBT"/>
        <w:rPr>
          <w:lang w:val="en-GB"/>
        </w:rPr>
      </w:pPr>
    </w:p>
    <w:p w14:paraId="55FF5B17" w14:textId="77777777" w:rsidR="00150EF2" w:rsidRDefault="00666448" w:rsidP="0081051E">
      <w:pPr>
        <w:pStyle w:val="MH2"/>
        <w:spacing w:after="0"/>
        <w:outlineLvl w:val="9"/>
      </w:pPr>
      <w:r w:rsidRPr="0044090D">
        <w:t>Procedures</w:t>
      </w:r>
    </w:p>
    <w:p w14:paraId="40567605" w14:textId="77777777" w:rsidR="0081051E" w:rsidRPr="0081051E" w:rsidRDefault="0081051E" w:rsidP="0081051E">
      <w:pPr>
        <w:pStyle w:val="MBT"/>
      </w:pPr>
    </w:p>
    <w:p w14:paraId="4FFA7089" w14:textId="77777777" w:rsidR="003C659D" w:rsidRPr="0044090D" w:rsidRDefault="00E30079" w:rsidP="00243DF3">
      <w:pPr>
        <w:pStyle w:val="MBT"/>
        <w:rPr>
          <w:lang w:val="en-GB"/>
        </w:rPr>
      </w:pPr>
      <w:r w:rsidRPr="0044090D">
        <w:rPr>
          <w:lang w:val="en-GB"/>
        </w:rPr>
        <w:t xml:space="preserve">LN 47/2014 sets out a number of </w:t>
      </w:r>
      <w:r w:rsidRPr="0044090D">
        <w:rPr>
          <w:b/>
          <w:lang w:val="en-GB"/>
        </w:rPr>
        <w:t>qualifications and general requirements</w:t>
      </w:r>
      <w:r w:rsidRPr="0044090D">
        <w:rPr>
          <w:lang w:val="en-GB"/>
        </w:rPr>
        <w:t xml:space="preserve"> that the main applicant must satisfy</w:t>
      </w:r>
      <w:r w:rsidR="002F6D81" w:rsidRPr="0044090D">
        <w:rPr>
          <w:lang w:val="en-GB"/>
        </w:rPr>
        <w:t xml:space="preserve"> to apply for citizenship under</w:t>
      </w:r>
      <w:r w:rsidR="00E16069" w:rsidRPr="0044090D">
        <w:rPr>
          <w:lang w:val="en-GB"/>
        </w:rPr>
        <w:t xml:space="preserve"> the </w:t>
      </w:r>
      <w:r w:rsidR="00E7150C" w:rsidRPr="0044090D">
        <w:rPr>
          <w:lang w:val="en-GB"/>
        </w:rPr>
        <w:t>individual investor programme (</w:t>
      </w:r>
      <w:r w:rsidR="003C659D" w:rsidRPr="0044090D">
        <w:rPr>
          <w:lang w:val="en-GB"/>
        </w:rPr>
        <w:t>IIP</w:t>
      </w:r>
      <w:r w:rsidR="00E7150C" w:rsidRPr="0044090D">
        <w:rPr>
          <w:lang w:val="en-GB"/>
        </w:rPr>
        <w:t>)</w:t>
      </w:r>
      <w:r w:rsidR="00E16069" w:rsidRPr="0044090D">
        <w:rPr>
          <w:lang w:val="en-GB"/>
        </w:rPr>
        <w:t>. Regulation 2 of LN 47/2014 defines the</w:t>
      </w:r>
      <w:r w:rsidR="002F6D81" w:rsidRPr="0044090D">
        <w:rPr>
          <w:lang w:val="en-GB"/>
        </w:rPr>
        <w:t xml:space="preserve"> ‘main applicant’ </w:t>
      </w:r>
      <w:r w:rsidR="00E16069" w:rsidRPr="0044090D">
        <w:rPr>
          <w:lang w:val="en-GB"/>
        </w:rPr>
        <w:t>as ‘the person who, e</w:t>
      </w:r>
      <w:r w:rsidR="002F6D81" w:rsidRPr="0044090D">
        <w:rPr>
          <w:lang w:val="en-GB"/>
        </w:rPr>
        <w:t>ither as a single applicant or as the head of a family, undertakes to make a contribution for the purposes of these regulations and signs the relevant agreement and undertakings on behalf</w:t>
      </w:r>
      <w:r w:rsidR="00E16069" w:rsidRPr="0044090D">
        <w:rPr>
          <w:lang w:val="en-GB"/>
        </w:rPr>
        <w:t xml:space="preserve"> of his dependants’.</w:t>
      </w:r>
      <w:r w:rsidR="002F6D81" w:rsidRPr="0044090D">
        <w:rPr>
          <w:lang w:val="en-GB"/>
        </w:rPr>
        <w:t xml:space="preserve"> </w:t>
      </w:r>
    </w:p>
    <w:p w14:paraId="55BC25FD" w14:textId="77777777" w:rsidR="003C659D" w:rsidRPr="0044090D" w:rsidRDefault="003C659D" w:rsidP="00243DF3">
      <w:pPr>
        <w:pStyle w:val="MBT"/>
        <w:rPr>
          <w:lang w:val="en-GB"/>
        </w:rPr>
      </w:pPr>
    </w:p>
    <w:p w14:paraId="2E0A3C2B" w14:textId="77777777" w:rsidR="00E16069" w:rsidRPr="0044090D" w:rsidRDefault="001A50CC" w:rsidP="00243DF3">
      <w:pPr>
        <w:pStyle w:val="MBT"/>
        <w:rPr>
          <w:lang w:val="en-GB"/>
        </w:rPr>
      </w:pPr>
      <w:r w:rsidRPr="0044090D">
        <w:rPr>
          <w:lang w:val="en-GB"/>
        </w:rPr>
        <w:t>The ‘applicant’ is defined as ‘the person who applies or on whose behalf it is being applied for his naturalisation as a citizen of Malta under the individual investor programme as a main applicant or as a dependant’.</w:t>
      </w:r>
    </w:p>
    <w:p w14:paraId="59B30E9E" w14:textId="77777777" w:rsidR="004650F6" w:rsidRPr="0044090D" w:rsidRDefault="004650F6" w:rsidP="004650F6">
      <w:pPr>
        <w:pStyle w:val="MBT"/>
        <w:rPr>
          <w:lang w:val="en-GB"/>
        </w:rPr>
      </w:pPr>
    </w:p>
    <w:p w14:paraId="4544AACD" w14:textId="77777777" w:rsidR="002F6D81" w:rsidRPr="0044090D" w:rsidRDefault="00E16069" w:rsidP="00243DF3">
      <w:pPr>
        <w:pStyle w:val="MBT"/>
        <w:rPr>
          <w:lang w:val="en-GB"/>
        </w:rPr>
      </w:pPr>
      <w:r w:rsidRPr="0044090D">
        <w:rPr>
          <w:lang w:val="en-GB"/>
        </w:rPr>
        <w:t>In order to</w:t>
      </w:r>
      <w:r w:rsidR="002F6D81" w:rsidRPr="0044090D">
        <w:rPr>
          <w:lang w:val="en-GB"/>
        </w:rPr>
        <w:t xml:space="preserve"> qualify for citizenship under the </w:t>
      </w:r>
      <w:r w:rsidRPr="0044090D">
        <w:rPr>
          <w:lang w:val="en-GB"/>
        </w:rPr>
        <w:t>IIP</w:t>
      </w:r>
      <w:r w:rsidR="002F6D81" w:rsidRPr="0044090D">
        <w:rPr>
          <w:lang w:val="en-GB"/>
        </w:rPr>
        <w:t xml:space="preserve">, the </w:t>
      </w:r>
      <w:r w:rsidR="002F6D81" w:rsidRPr="0044090D">
        <w:rPr>
          <w:b/>
          <w:lang w:val="en-GB"/>
        </w:rPr>
        <w:t>main applicant</w:t>
      </w:r>
      <w:r w:rsidR="002F6D81" w:rsidRPr="0044090D">
        <w:rPr>
          <w:lang w:val="en-GB"/>
        </w:rPr>
        <w:t xml:space="preserve"> must:</w:t>
      </w:r>
    </w:p>
    <w:p w14:paraId="7659476C" w14:textId="77777777" w:rsidR="002F6D81" w:rsidRPr="0044090D" w:rsidRDefault="003C659D" w:rsidP="00ED5925">
      <w:pPr>
        <w:pStyle w:val="MBT"/>
        <w:numPr>
          <w:ilvl w:val="0"/>
          <w:numId w:val="13"/>
        </w:numPr>
        <w:rPr>
          <w:lang w:val="en-GB"/>
        </w:rPr>
      </w:pPr>
      <w:r w:rsidRPr="0044090D">
        <w:rPr>
          <w:lang w:val="en-GB"/>
        </w:rPr>
        <w:t>Be</w:t>
      </w:r>
      <w:r w:rsidR="002F6D81" w:rsidRPr="0044090D">
        <w:rPr>
          <w:lang w:val="en-GB"/>
        </w:rPr>
        <w:t xml:space="preserve"> at least 18 years of age;</w:t>
      </w:r>
    </w:p>
    <w:p w14:paraId="5A15E8FA" w14:textId="77777777" w:rsidR="002F6D81" w:rsidRPr="0044090D" w:rsidRDefault="003C659D" w:rsidP="00ED5925">
      <w:pPr>
        <w:pStyle w:val="MBT"/>
        <w:numPr>
          <w:ilvl w:val="0"/>
          <w:numId w:val="13"/>
        </w:numPr>
        <w:rPr>
          <w:lang w:val="en-GB"/>
        </w:rPr>
      </w:pPr>
      <w:r w:rsidRPr="0044090D">
        <w:rPr>
          <w:lang w:val="en-GB"/>
        </w:rPr>
        <w:t>Propose</w:t>
      </w:r>
      <w:r w:rsidR="002F6D81" w:rsidRPr="0044090D">
        <w:rPr>
          <w:lang w:val="en-GB"/>
        </w:rPr>
        <w:t xml:space="preserve"> to make a contribution</w:t>
      </w:r>
      <w:r w:rsidRPr="0044090D">
        <w:rPr>
          <w:rStyle w:val="FootnoteReference"/>
          <w:lang w:val="en-GB"/>
        </w:rPr>
        <w:footnoteReference w:id="29"/>
      </w:r>
      <w:r w:rsidR="002F6D81" w:rsidRPr="0044090D">
        <w:rPr>
          <w:lang w:val="en-GB"/>
        </w:rPr>
        <w:t xml:space="preserve"> as determined in the Schedule to LN 47/2014 setting out the contribution requirements and schedule of fees;</w:t>
      </w:r>
    </w:p>
    <w:p w14:paraId="1597AAA5" w14:textId="77777777" w:rsidR="002F6D81" w:rsidRPr="0044090D" w:rsidRDefault="003C659D" w:rsidP="00ED5925">
      <w:pPr>
        <w:pStyle w:val="MBT"/>
        <w:numPr>
          <w:ilvl w:val="0"/>
          <w:numId w:val="13"/>
        </w:numPr>
        <w:rPr>
          <w:lang w:val="en-GB"/>
        </w:rPr>
      </w:pPr>
      <w:r w:rsidRPr="0044090D">
        <w:rPr>
          <w:lang w:val="en-GB"/>
        </w:rPr>
        <w:t>Meet the application requirements, that is</w:t>
      </w:r>
      <w:r w:rsidR="00A514B5" w:rsidRPr="0044090D">
        <w:rPr>
          <w:lang w:val="en-GB"/>
        </w:rPr>
        <w:t>,</w:t>
      </w:r>
      <w:r w:rsidRPr="0044090D">
        <w:rPr>
          <w:lang w:val="en-GB"/>
        </w:rPr>
        <w:t xml:space="preserve"> the formal and substantial requirements set forth in LN 47/2014</w:t>
      </w:r>
      <w:r w:rsidR="0081051E">
        <w:rPr>
          <w:lang w:val="en-GB"/>
        </w:rPr>
        <w:t>;</w:t>
      </w:r>
      <w:r w:rsidRPr="0044090D">
        <w:rPr>
          <w:rStyle w:val="FootnoteReference"/>
          <w:lang w:val="en-GB"/>
        </w:rPr>
        <w:footnoteReference w:id="30"/>
      </w:r>
    </w:p>
    <w:p w14:paraId="767A3E06" w14:textId="77777777" w:rsidR="002F6D81" w:rsidRPr="0044090D" w:rsidRDefault="003C659D" w:rsidP="00ED5925">
      <w:pPr>
        <w:pStyle w:val="MBT"/>
        <w:numPr>
          <w:ilvl w:val="0"/>
          <w:numId w:val="13"/>
        </w:numPr>
        <w:rPr>
          <w:lang w:val="en-GB"/>
        </w:rPr>
      </w:pPr>
      <w:r w:rsidRPr="0044090D">
        <w:rPr>
          <w:lang w:val="en-GB"/>
        </w:rPr>
        <w:t>Commit</w:t>
      </w:r>
      <w:r w:rsidR="002F6D81" w:rsidRPr="0044090D">
        <w:rPr>
          <w:lang w:val="en-GB"/>
        </w:rPr>
        <w:t xml:space="preserve"> to provide proof of residence in Malta</w:t>
      </w:r>
      <w:r w:rsidR="00E16069" w:rsidRPr="0044090D">
        <w:rPr>
          <w:lang w:val="en-GB"/>
        </w:rPr>
        <w:t xml:space="preserve"> a</w:t>
      </w:r>
      <w:r w:rsidR="002F6D81" w:rsidRPr="0044090D">
        <w:rPr>
          <w:lang w:val="en-GB"/>
        </w:rPr>
        <w:t>nd to provide proof of title to residential property in Malta;</w:t>
      </w:r>
    </w:p>
    <w:p w14:paraId="4AAA7453" w14:textId="77777777" w:rsidR="002F6D81" w:rsidRPr="0044090D" w:rsidRDefault="003C659D" w:rsidP="00ED5925">
      <w:pPr>
        <w:pStyle w:val="MBT"/>
        <w:numPr>
          <w:ilvl w:val="0"/>
          <w:numId w:val="13"/>
        </w:numPr>
        <w:rPr>
          <w:lang w:val="en-GB"/>
        </w:rPr>
      </w:pPr>
      <w:r w:rsidRPr="0044090D">
        <w:rPr>
          <w:lang w:val="en-GB"/>
        </w:rPr>
        <w:t>Commit</w:t>
      </w:r>
      <w:r w:rsidR="002F6D81" w:rsidRPr="0044090D">
        <w:rPr>
          <w:lang w:val="en-GB"/>
        </w:rPr>
        <w:t xml:space="preserve"> to investing, amongst others, in stocks, bonds, debentures, special purpose vehicles or to make other investments as provided from time to time by Identity Malta by means of a notice in the </w:t>
      </w:r>
      <w:r w:rsidR="00E7150C" w:rsidRPr="0044090D">
        <w:rPr>
          <w:lang w:val="en-GB"/>
        </w:rPr>
        <w:t xml:space="preserve">Government </w:t>
      </w:r>
      <w:r w:rsidR="002F6D81" w:rsidRPr="0044090D">
        <w:rPr>
          <w:lang w:val="en-GB"/>
        </w:rPr>
        <w:t>Gazette</w:t>
      </w:r>
      <w:r w:rsidR="0081051E">
        <w:rPr>
          <w:lang w:val="en-GB"/>
        </w:rPr>
        <w:t>.</w:t>
      </w:r>
      <w:r w:rsidR="00E16069" w:rsidRPr="0044090D">
        <w:rPr>
          <w:rStyle w:val="FootnoteReference"/>
          <w:lang w:val="en-GB"/>
        </w:rPr>
        <w:footnoteReference w:id="31"/>
      </w:r>
    </w:p>
    <w:p w14:paraId="083D6FA5" w14:textId="77777777" w:rsidR="002F6D81" w:rsidRPr="0044090D" w:rsidRDefault="002F6D81" w:rsidP="00243DF3">
      <w:pPr>
        <w:pStyle w:val="MBT"/>
        <w:rPr>
          <w:lang w:val="en-GB"/>
        </w:rPr>
      </w:pPr>
    </w:p>
    <w:p w14:paraId="37F0B81A" w14:textId="77777777" w:rsidR="009D3BE3" w:rsidRDefault="0006201B" w:rsidP="00243DF3">
      <w:pPr>
        <w:pStyle w:val="MBT"/>
        <w:rPr>
          <w:lang w:val="en-GB"/>
        </w:rPr>
      </w:pPr>
      <w:r w:rsidRPr="0044090D">
        <w:rPr>
          <w:lang w:val="en-GB"/>
        </w:rPr>
        <w:t xml:space="preserve">Identity Malta’s </w:t>
      </w:r>
      <w:r w:rsidR="00E7150C" w:rsidRPr="0044090D">
        <w:rPr>
          <w:lang w:val="en-GB"/>
        </w:rPr>
        <w:t xml:space="preserve">IIP </w:t>
      </w:r>
      <w:r w:rsidRPr="0044090D">
        <w:rPr>
          <w:lang w:val="en-GB"/>
        </w:rPr>
        <w:t xml:space="preserve">checklist and guidelines refer to the </w:t>
      </w:r>
      <w:r w:rsidRPr="0044090D">
        <w:rPr>
          <w:b/>
          <w:lang w:val="en-GB"/>
        </w:rPr>
        <w:t>residency stage</w:t>
      </w:r>
      <w:r w:rsidRPr="0044090D">
        <w:rPr>
          <w:lang w:val="en-GB"/>
        </w:rPr>
        <w:t xml:space="preserve">, </w:t>
      </w:r>
      <w:r w:rsidRPr="009D3BE3">
        <w:rPr>
          <w:b/>
          <w:lang w:val="en-GB"/>
        </w:rPr>
        <w:t>application stage</w:t>
      </w:r>
      <w:r w:rsidRPr="0044090D">
        <w:rPr>
          <w:lang w:val="en-GB"/>
        </w:rPr>
        <w:t xml:space="preserve"> and the </w:t>
      </w:r>
      <w:r w:rsidRPr="009D3BE3">
        <w:rPr>
          <w:b/>
          <w:lang w:val="en-GB"/>
        </w:rPr>
        <w:t>oath of allegiance and naturalisation</w:t>
      </w:r>
      <w:r w:rsidRPr="0044090D">
        <w:rPr>
          <w:lang w:val="en-GB"/>
        </w:rPr>
        <w:t xml:space="preserve"> as the key milestones for a successful application</w:t>
      </w:r>
      <w:r w:rsidR="0081051E">
        <w:rPr>
          <w:lang w:val="en-GB"/>
        </w:rPr>
        <w:t>.</w:t>
      </w:r>
      <w:r w:rsidR="00E7150C" w:rsidRPr="0044090D">
        <w:rPr>
          <w:rStyle w:val="FootnoteReference"/>
          <w:lang w:val="en-GB"/>
        </w:rPr>
        <w:footnoteReference w:id="32"/>
      </w:r>
      <w:r w:rsidRPr="0044090D">
        <w:rPr>
          <w:lang w:val="en-GB"/>
        </w:rPr>
        <w:t xml:space="preserve"> </w:t>
      </w:r>
    </w:p>
    <w:p w14:paraId="28D388E6" w14:textId="77777777" w:rsidR="009D3BE3" w:rsidRDefault="009D3BE3" w:rsidP="00243DF3">
      <w:pPr>
        <w:pStyle w:val="MBT"/>
        <w:rPr>
          <w:lang w:val="en-GB"/>
        </w:rPr>
      </w:pPr>
    </w:p>
    <w:p w14:paraId="5637B605" w14:textId="40D68A89" w:rsidR="00150EF2" w:rsidRPr="0044090D" w:rsidRDefault="0006201B" w:rsidP="00243DF3">
      <w:pPr>
        <w:pStyle w:val="MBT"/>
        <w:rPr>
          <w:lang w:val="en-GB"/>
        </w:rPr>
      </w:pPr>
      <w:r w:rsidRPr="0044090D">
        <w:rPr>
          <w:lang w:val="en-GB"/>
        </w:rPr>
        <w:t xml:space="preserve">The </w:t>
      </w:r>
      <w:r w:rsidRPr="009D3BE3">
        <w:rPr>
          <w:b/>
          <w:lang w:val="en-GB"/>
        </w:rPr>
        <w:t>residency stage</w:t>
      </w:r>
      <w:r w:rsidRPr="0044090D">
        <w:rPr>
          <w:lang w:val="en-GB"/>
        </w:rPr>
        <w:t xml:space="preserve"> starts with the signing of an agreement between the applicant and the concessionaire or accredited person/approved agent for the latter to act on the </w:t>
      </w:r>
      <w:r w:rsidR="00EC58D0" w:rsidRPr="0044090D">
        <w:rPr>
          <w:lang w:val="en-GB"/>
        </w:rPr>
        <w:t>applicant’s</w:t>
      </w:r>
      <w:r w:rsidRPr="0044090D">
        <w:rPr>
          <w:lang w:val="en-GB"/>
        </w:rPr>
        <w:t xml:space="preserve"> behalf. This is followed by an application for an e-Residence Card issued by the Maltese authorities and payment o</w:t>
      </w:r>
      <w:r w:rsidR="00E7150C" w:rsidRPr="0044090D">
        <w:rPr>
          <w:lang w:val="en-GB"/>
        </w:rPr>
        <w:t>f the initial part contribution – a EUR 5,000</w:t>
      </w:r>
      <w:r w:rsidR="00EC58D0" w:rsidRPr="0044090D">
        <w:rPr>
          <w:lang w:val="en-GB"/>
        </w:rPr>
        <w:t xml:space="preserve"> </w:t>
      </w:r>
      <w:r w:rsidR="00354F7C">
        <w:rPr>
          <w:lang w:val="en-GB"/>
        </w:rPr>
        <w:t xml:space="preserve">non-refundable deposit. </w:t>
      </w:r>
      <w:r w:rsidR="00F32507">
        <w:rPr>
          <w:lang w:val="en-GB"/>
        </w:rPr>
        <w:t xml:space="preserve">The applicant does not </w:t>
      </w:r>
      <w:r w:rsidR="00023A5C">
        <w:rPr>
          <w:lang w:val="en-GB"/>
        </w:rPr>
        <w:t xml:space="preserve">need </w:t>
      </w:r>
      <w:r w:rsidR="00F32507">
        <w:rPr>
          <w:lang w:val="en-GB"/>
        </w:rPr>
        <w:t>to be physically present in Malta</w:t>
      </w:r>
      <w:r w:rsidR="003E594D">
        <w:rPr>
          <w:lang w:val="en-GB"/>
        </w:rPr>
        <w:t xml:space="preserve"> for submission of the application; physical presen</w:t>
      </w:r>
      <w:r w:rsidR="000B387C">
        <w:rPr>
          <w:lang w:val="en-GB"/>
        </w:rPr>
        <w:t xml:space="preserve">ce is only required before the </w:t>
      </w:r>
      <w:r w:rsidR="005264A5">
        <w:rPr>
          <w:lang w:val="en-GB"/>
        </w:rPr>
        <w:t>e-</w:t>
      </w:r>
      <w:r w:rsidR="000B387C">
        <w:rPr>
          <w:lang w:val="en-GB"/>
        </w:rPr>
        <w:t>R</w:t>
      </w:r>
      <w:r w:rsidR="003E594D">
        <w:rPr>
          <w:lang w:val="en-GB"/>
        </w:rPr>
        <w:t xml:space="preserve">esidence </w:t>
      </w:r>
      <w:r w:rsidR="000B387C">
        <w:rPr>
          <w:lang w:val="en-GB"/>
        </w:rPr>
        <w:t>C</w:t>
      </w:r>
      <w:r w:rsidR="003E594D">
        <w:rPr>
          <w:lang w:val="en-GB"/>
        </w:rPr>
        <w:t>ard is issued for the purposes of taking the applicant’s biometric data.</w:t>
      </w:r>
      <w:r w:rsidR="00890A3C">
        <w:rPr>
          <w:rStyle w:val="FootnoteReference"/>
          <w:lang w:val="en-GB"/>
        </w:rPr>
        <w:footnoteReference w:id="33"/>
      </w:r>
      <w:r w:rsidR="003E594D">
        <w:rPr>
          <w:lang w:val="en-GB"/>
        </w:rPr>
        <w:t xml:space="preserve"> </w:t>
      </w:r>
      <w:r w:rsidRPr="0044090D">
        <w:rPr>
          <w:lang w:val="en-GB"/>
        </w:rPr>
        <w:t xml:space="preserve">The residence related requirements are further explained in </w:t>
      </w:r>
      <w:r w:rsidR="00990823">
        <w:rPr>
          <w:lang w:val="en-GB"/>
        </w:rPr>
        <w:t>points</w:t>
      </w:r>
      <w:r w:rsidRPr="0044090D">
        <w:rPr>
          <w:lang w:val="en-GB"/>
        </w:rPr>
        <w:t xml:space="preserve"> </w:t>
      </w:r>
      <w:r w:rsidR="00417ED8" w:rsidRPr="0044090D">
        <w:rPr>
          <w:lang w:val="en-GB"/>
        </w:rPr>
        <w:t>2.2 and 2.3</w:t>
      </w:r>
      <w:r w:rsidRPr="0044090D">
        <w:rPr>
          <w:lang w:val="en-GB"/>
        </w:rPr>
        <w:t xml:space="preserve"> below.</w:t>
      </w:r>
    </w:p>
    <w:p w14:paraId="324ECF2F" w14:textId="77777777" w:rsidR="0006201B" w:rsidRPr="0044090D" w:rsidRDefault="0006201B" w:rsidP="00243DF3">
      <w:pPr>
        <w:pStyle w:val="MBT"/>
        <w:rPr>
          <w:lang w:val="en-GB"/>
        </w:rPr>
      </w:pPr>
    </w:p>
    <w:p w14:paraId="146F1119" w14:textId="77777777" w:rsidR="00417ED8" w:rsidRPr="0044090D" w:rsidRDefault="0006201B" w:rsidP="00243DF3">
      <w:pPr>
        <w:pStyle w:val="MBT"/>
        <w:rPr>
          <w:lang w:val="en-GB"/>
        </w:rPr>
      </w:pPr>
      <w:r w:rsidRPr="0044090D">
        <w:rPr>
          <w:lang w:val="en-GB"/>
        </w:rPr>
        <w:t xml:space="preserve">The </w:t>
      </w:r>
      <w:r w:rsidRPr="0044090D">
        <w:rPr>
          <w:b/>
          <w:lang w:val="en-GB"/>
        </w:rPr>
        <w:t xml:space="preserve">application </w:t>
      </w:r>
      <w:r w:rsidR="00417ED8" w:rsidRPr="0044090D">
        <w:rPr>
          <w:b/>
          <w:lang w:val="en-GB"/>
        </w:rPr>
        <w:t>stage</w:t>
      </w:r>
      <w:r w:rsidRPr="0044090D">
        <w:rPr>
          <w:lang w:val="en-GB"/>
        </w:rPr>
        <w:t xml:space="preserve"> involve</w:t>
      </w:r>
      <w:r w:rsidR="00417ED8" w:rsidRPr="0044090D">
        <w:rPr>
          <w:lang w:val="en-GB"/>
        </w:rPr>
        <w:t>s</w:t>
      </w:r>
      <w:r w:rsidRPr="0044090D">
        <w:rPr>
          <w:lang w:val="en-GB"/>
        </w:rPr>
        <w:t xml:space="preserve"> the submission of the complete application pack by the concessionaire or accredited person/approved agent to Identity Malta</w:t>
      </w:r>
      <w:r w:rsidR="0081051E">
        <w:rPr>
          <w:lang w:val="en-GB"/>
        </w:rPr>
        <w:t>.</w:t>
      </w:r>
      <w:r w:rsidR="00417ED8" w:rsidRPr="0044090D">
        <w:rPr>
          <w:rStyle w:val="FootnoteReference"/>
          <w:lang w:val="en-GB"/>
        </w:rPr>
        <w:footnoteReference w:id="34"/>
      </w:r>
      <w:r w:rsidRPr="0044090D">
        <w:rPr>
          <w:lang w:val="en-GB"/>
        </w:rPr>
        <w:t xml:space="preserve"> </w:t>
      </w:r>
      <w:r w:rsidR="00E16069" w:rsidRPr="0044090D">
        <w:rPr>
          <w:lang w:val="en-GB"/>
        </w:rPr>
        <w:t>In accordance with Regulation 4(2)</w:t>
      </w:r>
      <w:r w:rsidR="003C659D" w:rsidRPr="0044090D">
        <w:rPr>
          <w:lang w:val="en-GB"/>
        </w:rPr>
        <w:t xml:space="preserve"> of LN 47/2014</w:t>
      </w:r>
      <w:r w:rsidR="00E16069" w:rsidRPr="0044090D">
        <w:rPr>
          <w:lang w:val="en-GB"/>
        </w:rPr>
        <w:t>, a</w:t>
      </w:r>
      <w:r w:rsidR="00593467" w:rsidRPr="0044090D">
        <w:rPr>
          <w:lang w:val="en-GB"/>
        </w:rPr>
        <w:t>pplications must be made on the forms prescribed under the Citizenship Regulations</w:t>
      </w:r>
      <w:r w:rsidR="0081051E">
        <w:rPr>
          <w:lang w:val="en-GB"/>
        </w:rPr>
        <w:t>.</w:t>
      </w:r>
      <w:r w:rsidR="00471334" w:rsidRPr="0044090D">
        <w:rPr>
          <w:lang w:val="en-GB"/>
        </w:rPr>
        <w:t xml:space="preserve"> Forms N, O and P of the Citizenship Regulations </w:t>
      </w:r>
      <w:r w:rsidR="00A31E88" w:rsidRPr="0044090D">
        <w:rPr>
          <w:lang w:val="en-GB"/>
        </w:rPr>
        <w:t xml:space="preserve">are </w:t>
      </w:r>
      <w:r w:rsidR="00471334" w:rsidRPr="0044090D">
        <w:rPr>
          <w:lang w:val="en-GB"/>
        </w:rPr>
        <w:t xml:space="preserve">the </w:t>
      </w:r>
      <w:r w:rsidR="003009D5" w:rsidRPr="0044090D">
        <w:rPr>
          <w:lang w:val="en-GB"/>
        </w:rPr>
        <w:t xml:space="preserve">forms for </w:t>
      </w:r>
      <w:r w:rsidR="00471334" w:rsidRPr="0044090D">
        <w:rPr>
          <w:lang w:val="en-GB"/>
        </w:rPr>
        <w:t xml:space="preserve">‘Application for Naturalisation as a Citizen of Malta (under Article 10(9)(b) of the Maltese Citizenship Act, Cap. 188 and relative subsidiary </w:t>
      </w:r>
      <w:r w:rsidR="00471334" w:rsidRPr="0044090D">
        <w:rPr>
          <w:lang w:val="en-GB"/>
        </w:rPr>
        <w:lastRenderedPageBreak/>
        <w:t>legislation)’</w:t>
      </w:r>
      <w:r w:rsidR="00A31E88" w:rsidRPr="0044090D">
        <w:rPr>
          <w:lang w:val="en-GB"/>
        </w:rPr>
        <w:t>:</w:t>
      </w:r>
    </w:p>
    <w:p w14:paraId="03EFA974" w14:textId="77777777" w:rsidR="00A31E88" w:rsidRPr="0044090D" w:rsidRDefault="00A31E88" w:rsidP="00243DF3">
      <w:pPr>
        <w:pStyle w:val="MBT"/>
        <w:rPr>
          <w:lang w:val="en-GB"/>
        </w:rPr>
      </w:pPr>
    </w:p>
    <w:p w14:paraId="1C44718D" w14:textId="77777777" w:rsidR="00417ED8" w:rsidRPr="0044090D" w:rsidRDefault="003009D5" w:rsidP="00ED5925">
      <w:pPr>
        <w:pStyle w:val="MBT"/>
        <w:numPr>
          <w:ilvl w:val="0"/>
          <w:numId w:val="20"/>
        </w:numPr>
        <w:rPr>
          <w:lang w:val="en-GB"/>
        </w:rPr>
      </w:pPr>
      <w:r w:rsidRPr="0044090D">
        <w:rPr>
          <w:lang w:val="en-GB"/>
        </w:rPr>
        <w:t>Form N is for main applicants</w:t>
      </w:r>
      <w:r w:rsidR="0081051E">
        <w:rPr>
          <w:lang w:val="en-GB"/>
        </w:rPr>
        <w:t>,</w:t>
      </w:r>
      <w:r w:rsidR="003F5502" w:rsidRPr="0044090D">
        <w:rPr>
          <w:rStyle w:val="FootnoteReference"/>
          <w:lang w:val="en-GB"/>
        </w:rPr>
        <w:footnoteReference w:id="35"/>
      </w:r>
      <w:r w:rsidRPr="0044090D">
        <w:rPr>
          <w:lang w:val="en-GB"/>
        </w:rPr>
        <w:t xml:space="preserve"> </w:t>
      </w:r>
    </w:p>
    <w:p w14:paraId="08C500B9" w14:textId="77777777" w:rsidR="00417ED8" w:rsidRPr="0044090D" w:rsidRDefault="003009D5" w:rsidP="00ED5925">
      <w:pPr>
        <w:pStyle w:val="MBT"/>
        <w:numPr>
          <w:ilvl w:val="0"/>
          <w:numId w:val="20"/>
        </w:numPr>
        <w:rPr>
          <w:lang w:val="en-GB"/>
        </w:rPr>
      </w:pPr>
      <w:r w:rsidRPr="0044090D">
        <w:rPr>
          <w:lang w:val="en-GB"/>
        </w:rPr>
        <w:t xml:space="preserve">Form O for the spouse or other </w:t>
      </w:r>
      <w:r w:rsidR="003F5502" w:rsidRPr="0044090D">
        <w:rPr>
          <w:lang w:val="en-GB"/>
        </w:rPr>
        <w:t xml:space="preserve">adult </w:t>
      </w:r>
      <w:r w:rsidRPr="0044090D">
        <w:rPr>
          <w:lang w:val="en-GB"/>
        </w:rPr>
        <w:t>dependants</w:t>
      </w:r>
      <w:r w:rsidR="003F5502" w:rsidRPr="0044090D">
        <w:rPr>
          <w:rStyle w:val="FootnoteReference"/>
          <w:lang w:val="en-GB"/>
        </w:rPr>
        <w:footnoteReference w:id="36"/>
      </w:r>
      <w:r w:rsidRPr="0044090D">
        <w:rPr>
          <w:lang w:val="en-GB"/>
        </w:rPr>
        <w:t xml:space="preserve"> and </w:t>
      </w:r>
    </w:p>
    <w:p w14:paraId="08B96C29" w14:textId="77777777" w:rsidR="00A514B5" w:rsidRPr="0044090D" w:rsidRDefault="003009D5" w:rsidP="00ED5925">
      <w:pPr>
        <w:pStyle w:val="MBT"/>
        <w:numPr>
          <w:ilvl w:val="0"/>
          <w:numId w:val="20"/>
        </w:numPr>
        <w:rPr>
          <w:lang w:val="en-GB"/>
        </w:rPr>
      </w:pPr>
      <w:r w:rsidRPr="0044090D">
        <w:rPr>
          <w:lang w:val="en-GB"/>
        </w:rPr>
        <w:t>Form P is for the main applicant or his or her spouse on behalf of a minor child or a legal guardian of a child</w:t>
      </w:r>
      <w:r w:rsidR="0081051E">
        <w:rPr>
          <w:lang w:val="en-GB"/>
        </w:rPr>
        <w:t>.</w:t>
      </w:r>
      <w:r w:rsidR="003F5502" w:rsidRPr="0044090D">
        <w:rPr>
          <w:rStyle w:val="FootnoteReference"/>
          <w:lang w:val="en-GB"/>
        </w:rPr>
        <w:footnoteReference w:id="37"/>
      </w:r>
      <w:r w:rsidRPr="0044090D">
        <w:rPr>
          <w:lang w:val="en-GB"/>
        </w:rPr>
        <w:t xml:space="preserve"> </w:t>
      </w:r>
    </w:p>
    <w:p w14:paraId="4C772827" w14:textId="77777777" w:rsidR="00A514B5" w:rsidRDefault="00A514B5" w:rsidP="00243DF3">
      <w:pPr>
        <w:pStyle w:val="MBT"/>
        <w:rPr>
          <w:lang w:val="en-GB"/>
        </w:rPr>
      </w:pPr>
    </w:p>
    <w:p w14:paraId="124C300B" w14:textId="77777777" w:rsidR="00D22751" w:rsidRDefault="00D22751" w:rsidP="00243DF3">
      <w:pPr>
        <w:pStyle w:val="MBT"/>
        <w:rPr>
          <w:lang w:val="en-GB"/>
        </w:rPr>
      </w:pPr>
      <w:r w:rsidRPr="009D3BE3">
        <w:rPr>
          <w:lang w:val="en-GB"/>
        </w:rPr>
        <w:t xml:space="preserve">In addition to the application forms a number of administrative forms as </w:t>
      </w:r>
      <w:r w:rsidR="009D3BE3" w:rsidRPr="009D3BE3">
        <w:rPr>
          <w:lang w:val="en-GB"/>
        </w:rPr>
        <w:t xml:space="preserve">described in </w:t>
      </w:r>
      <w:r w:rsidR="00990823">
        <w:rPr>
          <w:lang w:val="en-GB"/>
        </w:rPr>
        <w:t xml:space="preserve">point </w:t>
      </w:r>
      <w:r w:rsidR="009D3BE3" w:rsidRPr="009D3BE3">
        <w:rPr>
          <w:lang w:val="en-GB"/>
        </w:rPr>
        <w:t>2.4 below</w:t>
      </w:r>
      <w:r w:rsidRPr="009D3BE3">
        <w:rPr>
          <w:lang w:val="en-GB"/>
        </w:rPr>
        <w:t xml:space="preserve"> must be completed.</w:t>
      </w:r>
    </w:p>
    <w:p w14:paraId="0FDBE19A" w14:textId="77777777" w:rsidR="00D22751" w:rsidRPr="0044090D" w:rsidRDefault="00D22751" w:rsidP="00243DF3">
      <w:pPr>
        <w:pStyle w:val="MBT"/>
        <w:rPr>
          <w:lang w:val="en-GB"/>
        </w:rPr>
      </w:pPr>
    </w:p>
    <w:p w14:paraId="016A8EFD" w14:textId="454E6693" w:rsidR="00593467" w:rsidRPr="0044090D" w:rsidRDefault="00471334" w:rsidP="00243DF3">
      <w:pPr>
        <w:pStyle w:val="MBT"/>
        <w:rPr>
          <w:lang w:val="en-GB"/>
        </w:rPr>
      </w:pPr>
      <w:r w:rsidRPr="0044090D">
        <w:rPr>
          <w:lang w:val="en-GB"/>
        </w:rPr>
        <w:t xml:space="preserve">The </w:t>
      </w:r>
      <w:r w:rsidR="00441EAB" w:rsidRPr="0044090D">
        <w:rPr>
          <w:lang w:val="en-GB"/>
        </w:rPr>
        <w:t xml:space="preserve">application form </w:t>
      </w:r>
      <w:r w:rsidR="009D3BE3">
        <w:rPr>
          <w:lang w:val="en-GB"/>
        </w:rPr>
        <w:t xml:space="preserve">must be completed by the applicant </w:t>
      </w:r>
      <w:r w:rsidR="00441EAB" w:rsidRPr="0044090D">
        <w:rPr>
          <w:lang w:val="en-GB"/>
        </w:rPr>
        <w:t xml:space="preserve">personally or </w:t>
      </w:r>
      <w:r w:rsidR="00417ED8" w:rsidRPr="0044090D">
        <w:rPr>
          <w:lang w:val="en-GB"/>
        </w:rPr>
        <w:t xml:space="preserve">if </w:t>
      </w:r>
      <w:r w:rsidR="009D3BE3">
        <w:rPr>
          <w:lang w:val="en-GB"/>
        </w:rPr>
        <w:t xml:space="preserve">the applicant is </w:t>
      </w:r>
      <w:r w:rsidR="00441EAB" w:rsidRPr="0044090D">
        <w:rPr>
          <w:lang w:val="en-GB"/>
        </w:rPr>
        <w:t>unable to do so, by a legal representative and signed by each and every applicant</w:t>
      </w:r>
      <w:r w:rsidR="0081051E">
        <w:rPr>
          <w:lang w:val="en-GB"/>
        </w:rPr>
        <w:t>.</w:t>
      </w:r>
      <w:r w:rsidR="00441EAB" w:rsidRPr="0044090D">
        <w:rPr>
          <w:rStyle w:val="FootnoteReference"/>
          <w:lang w:val="en-GB"/>
        </w:rPr>
        <w:footnoteReference w:id="38"/>
      </w:r>
      <w:r w:rsidR="00441EAB" w:rsidRPr="0044090D">
        <w:rPr>
          <w:lang w:val="en-GB"/>
        </w:rPr>
        <w:t xml:space="preserve"> </w:t>
      </w:r>
      <w:r w:rsidR="00675035">
        <w:rPr>
          <w:lang w:val="en-GB"/>
        </w:rPr>
        <w:t>The applicant does not need to be physically present in Malta.</w:t>
      </w:r>
      <w:r w:rsidR="00890A3C">
        <w:rPr>
          <w:rStyle w:val="FootnoteReference"/>
          <w:lang w:val="en-GB"/>
        </w:rPr>
        <w:footnoteReference w:id="39"/>
      </w:r>
      <w:r w:rsidR="00675035">
        <w:rPr>
          <w:lang w:val="en-GB"/>
        </w:rPr>
        <w:t xml:space="preserve"> </w:t>
      </w:r>
      <w:r w:rsidR="00441EAB" w:rsidRPr="0044090D">
        <w:rPr>
          <w:lang w:val="en-GB"/>
        </w:rPr>
        <w:t xml:space="preserve">The </w:t>
      </w:r>
      <w:r w:rsidR="00441EAB" w:rsidRPr="0044090D">
        <w:rPr>
          <w:b/>
          <w:lang w:val="en-GB"/>
        </w:rPr>
        <w:t xml:space="preserve">application form must </w:t>
      </w:r>
      <w:r w:rsidR="00593467" w:rsidRPr="0044090D">
        <w:rPr>
          <w:b/>
          <w:lang w:val="en-GB"/>
        </w:rPr>
        <w:t>be accompanied by</w:t>
      </w:r>
      <w:r w:rsidR="00593467" w:rsidRPr="0044090D">
        <w:rPr>
          <w:lang w:val="en-GB"/>
        </w:rPr>
        <w:t xml:space="preserve"> the due diligence and </w:t>
      </w:r>
      <w:r w:rsidR="00DC1492" w:rsidRPr="0044090D">
        <w:rPr>
          <w:lang w:val="en-GB"/>
        </w:rPr>
        <w:t>bank</w:t>
      </w:r>
      <w:r w:rsidR="00E16069" w:rsidRPr="0044090D">
        <w:rPr>
          <w:lang w:val="en-GB"/>
        </w:rPr>
        <w:t xml:space="preserve"> charges fees </w:t>
      </w:r>
      <w:r w:rsidR="007667D5">
        <w:rPr>
          <w:lang w:val="en-GB"/>
        </w:rPr>
        <w:t xml:space="preserve">(see point 2.4 below) </w:t>
      </w:r>
      <w:r w:rsidR="00E16069" w:rsidRPr="0044090D">
        <w:rPr>
          <w:lang w:val="en-GB"/>
        </w:rPr>
        <w:t>and</w:t>
      </w:r>
      <w:r w:rsidR="00593467" w:rsidRPr="0044090D">
        <w:rPr>
          <w:lang w:val="en-GB"/>
        </w:rPr>
        <w:t xml:space="preserve"> </w:t>
      </w:r>
      <w:r w:rsidR="00DC1492" w:rsidRPr="0044090D">
        <w:rPr>
          <w:lang w:val="en-GB"/>
        </w:rPr>
        <w:t>originals</w:t>
      </w:r>
      <w:r w:rsidR="00593467" w:rsidRPr="0044090D">
        <w:rPr>
          <w:lang w:val="en-GB"/>
        </w:rPr>
        <w:t xml:space="preserve"> or certified copies</w:t>
      </w:r>
      <w:r w:rsidR="003C659D" w:rsidRPr="0044090D">
        <w:rPr>
          <w:rStyle w:val="FootnoteReference"/>
          <w:lang w:val="en-GB"/>
        </w:rPr>
        <w:footnoteReference w:id="40"/>
      </w:r>
      <w:r w:rsidR="00593467" w:rsidRPr="0044090D">
        <w:rPr>
          <w:lang w:val="en-GB"/>
        </w:rPr>
        <w:t xml:space="preserve"> of</w:t>
      </w:r>
      <w:r w:rsidR="00DC1492" w:rsidRPr="0044090D">
        <w:rPr>
          <w:lang w:val="en-GB"/>
        </w:rPr>
        <w:t>:</w:t>
      </w:r>
    </w:p>
    <w:p w14:paraId="6FFC42AB" w14:textId="77777777" w:rsidR="00DC1492" w:rsidRPr="0044090D" w:rsidRDefault="00DC1492" w:rsidP="00243DF3">
      <w:pPr>
        <w:pStyle w:val="MBT"/>
        <w:rPr>
          <w:lang w:val="en-GB"/>
        </w:rPr>
      </w:pPr>
    </w:p>
    <w:p w14:paraId="3B969442" w14:textId="77777777" w:rsidR="00DC1492" w:rsidRPr="0044090D" w:rsidRDefault="00A514B5" w:rsidP="00ED5925">
      <w:pPr>
        <w:pStyle w:val="MBT"/>
        <w:numPr>
          <w:ilvl w:val="0"/>
          <w:numId w:val="14"/>
        </w:numPr>
        <w:rPr>
          <w:lang w:val="en-GB"/>
        </w:rPr>
      </w:pPr>
      <w:r w:rsidRPr="0044090D">
        <w:rPr>
          <w:lang w:val="en-GB"/>
        </w:rPr>
        <w:t>Certification</w:t>
      </w:r>
      <w:r w:rsidR="00DC1492" w:rsidRPr="0044090D">
        <w:rPr>
          <w:lang w:val="en-GB"/>
        </w:rPr>
        <w:t xml:space="preserve"> from a reputable health system to the satisfaction of </w:t>
      </w:r>
      <w:r w:rsidRPr="0044090D">
        <w:rPr>
          <w:lang w:val="en-GB"/>
        </w:rPr>
        <w:t>Identity Malta that</w:t>
      </w:r>
      <w:r w:rsidR="00230D7C" w:rsidRPr="0044090D">
        <w:rPr>
          <w:lang w:val="en-GB"/>
        </w:rPr>
        <w:t xml:space="preserve"> the</w:t>
      </w:r>
      <w:r w:rsidR="0006201B" w:rsidRPr="0044090D">
        <w:rPr>
          <w:lang w:val="en-GB"/>
        </w:rPr>
        <w:t xml:space="preserve"> main applicant </w:t>
      </w:r>
      <w:r w:rsidR="00EC58D0" w:rsidRPr="0044090D">
        <w:rPr>
          <w:lang w:val="en-GB"/>
        </w:rPr>
        <w:t>and</w:t>
      </w:r>
      <w:r w:rsidR="00DC1492" w:rsidRPr="0044090D">
        <w:rPr>
          <w:lang w:val="en-GB"/>
        </w:rPr>
        <w:t xml:space="preserve"> his</w:t>
      </w:r>
      <w:r w:rsidRPr="0044090D">
        <w:rPr>
          <w:lang w:val="en-GB"/>
        </w:rPr>
        <w:t>/her</w:t>
      </w:r>
      <w:r w:rsidR="00DC1492" w:rsidRPr="0044090D">
        <w:rPr>
          <w:lang w:val="en-GB"/>
        </w:rPr>
        <w:t xml:space="preserve"> </w:t>
      </w:r>
      <w:r w:rsidR="00417ED8" w:rsidRPr="0044090D">
        <w:rPr>
          <w:lang w:val="en-GB"/>
        </w:rPr>
        <w:t xml:space="preserve">dependants </w:t>
      </w:r>
      <w:r w:rsidR="003F5502" w:rsidRPr="0044090D">
        <w:rPr>
          <w:lang w:val="en-GB"/>
        </w:rPr>
        <w:t xml:space="preserve">are </w:t>
      </w:r>
      <w:r w:rsidR="00A31E88" w:rsidRPr="0044090D">
        <w:rPr>
          <w:lang w:val="en-GB"/>
        </w:rPr>
        <w:t>not suffering from any contagious</w:t>
      </w:r>
      <w:r w:rsidR="00DC1492" w:rsidRPr="0044090D">
        <w:rPr>
          <w:lang w:val="en-GB"/>
        </w:rPr>
        <w:t xml:space="preserve"> disease and that they are otherwise in good health;</w:t>
      </w:r>
    </w:p>
    <w:p w14:paraId="1AC269D7" w14:textId="77777777" w:rsidR="00DC1492" w:rsidRPr="0044090D" w:rsidRDefault="00A514B5" w:rsidP="00ED5925">
      <w:pPr>
        <w:pStyle w:val="MBT"/>
        <w:numPr>
          <w:ilvl w:val="0"/>
          <w:numId w:val="14"/>
        </w:numPr>
        <w:rPr>
          <w:lang w:val="en-GB"/>
        </w:rPr>
      </w:pPr>
      <w:r w:rsidRPr="0044090D">
        <w:rPr>
          <w:lang w:val="en-GB"/>
        </w:rPr>
        <w:t>Police</w:t>
      </w:r>
      <w:r w:rsidR="00DC1492" w:rsidRPr="0044090D">
        <w:rPr>
          <w:lang w:val="en-GB"/>
        </w:rPr>
        <w:t xml:space="preserve"> certificate/s</w:t>
      </w:r>
      <w:r w:rsidR="0081051E">
        <w:rPr>
          <w:lang w:val="en-GB"/>
        </w:rPr>
        <w:t>,</w:t>
      </w:r>
      <w:r w:rsidR="00C2002C" w:rsidRPr="0044090D">
        <w:rPr>
          <w:rStyle w:val="FootnoteReference"/>
          <w:lang w:val="en-GB"/>
        </w:rPr>
        <w:footnoteReference w:id="41"/>
      </w:r>
      <w:r w:rsidR="00DC1492" w:rsidRPr="0044090D">
        <w:rPr>
          <w:lang w:val="en-GB"/>
        </w:rPr>
        <w:t xml:space="preserve"> which may be submitted subsequently at a later date but in any case before the application is approved</w:t>
      </w:r>
      <w:r w:rsidR="009D3BE3">
        <w:rPr>
          <w:lang w:val="en-GB"/>
        </w:rPr>
        <w:t xml:space="preserve"> (see</w:t>
      </w:r>
      <w:r w:rsidR="00990823">
        <w:rPr>
          <w:lang w:val="en-GB"/>
        </w:rPr>
        <w:t xml:space="preserve"> point</w:t>
      </w:r>
      <w:r w:rsidR="009D3BE3">
        <w:rPr>
          <w:lang w:val="en-GB"/>
        </w:rPr>
        <w:t xml:space="preserve"> 2.4 below)</w:t>
      </w:r>
      <w:r w:rsidR="00DC1492" w:rsidRPr="0044090D">
        <w:rPr>
          <w:lang w:val="en-GB"/>
        </w:rPr>
        <w:t>;</w:t>
      </w:r>
    </w:p>
    <w:p w14:paraId="2F6329FC" w14:textId="77777777" w:rsidR="00DC1492" w:rsidRPr="0044090D" w:rsidRDefault="00A514B5" w:rsidP="00ED5925">
      <w:pPr>
        <w:pStyle w:val="MBT"/>
        <w:numPr>
          <w:ilvl w:val="0"/>
          <w:numId w:val="14"/>
        </w:numPr>
        <w:rPr>
          <w:lang w:val="en-GB"/>
        </w:rPr>
      </w:pPr>
      <w:r w:rsidRPr="0044090D">
        <w:rPr>
          <w:lang w:val="en-GB"/>
        </w:rPr>
        <w:t>Evidence</w:t>
      </w:r>
      <w:r w:rsidR="00DC1492" w:rsidRPr="0044090D">
        <w:rPr>
          <w:lang w:val="en-GB"/>
        </w:rPr>
        <w:t>, through due diligence processes, that the main applicant and his</w:t>
      </w:r>
      <w:r w:rsidRPr="0044090D">
        <w:rPr>
          <w:lang w:val="en-GB"/>
        </w:rPr>
        <w:t>/her</w:t>
      </w:r>
      <w:r w:rsidR="00DC1492" w:rsidRPr="0044090D">
        <w:rPr>
          <w:lang w:val="en-GB"/>
        </w:rPr>
        <w:t xml:space="preserve"> dependants are fit and proper persons to hold Maltese citizenship</w:t>
      </w:r>
      <w:r w:rsidR="00C31AB9">
        <w:rPr>
          <w:lang w:val="en-GB"/>
        </w:rPr>
        <w:t xml:space="preserve"> (see point </w:t>
      </w:r>
      <w:r w:rsidR="00A31E88" w:rsidRPr="0044090D">
        <w:rPr>
          <w:lang w:val="en-GB"/>
        </w:rPr>
        <w:t>2.4</w:t>
      </w:r>
      <w:r w:rsidR="00C31AB9">
        <w:rPr>
          <w:lang w:val="en-GB"/>
        </w:rPr>
        <w:t xml:space="preserve"> </w:t>
      </w:r>
      <w:r w:rsidR="00A31E88" w:rsidRPr="0044090D">
        <w:rPr>
          <w:lang w:val="en-GB"/>
        </w:rPr>
        <w:t>below)</w:t>
      </w:r>
      <w:r w:rsidR="00DC1492" w:rsidRPr="0044090D">
        <w:rPr>
          <w:lang w:val="en-GB"/>
        </w:rPr>
        <w:t>;</w:t>
      </w:r>
    </w:p>
    <w:p w14:paraId="0A4E69F6" w14:textId="77777777" w:rsidR="00DC1492" w:rsidRPr="0044090D" w:rsidRDefault="00A514B5" w:rsidP="00ED5925">
      <w:pPr>
        <w:pStyle w:val="MBT"/>
        <w:numPr>
          <w:ilvl w:val="0"/>
          <w:numId w:val="14"/>
        </w:numPr>
        <w:rPr>
          <w:lang w:val="en-GB"/>
        </w:rPr>
      </w:pPr>
      <w:r w:rsidRPr="0044090D">
        <w:rPr>
          <w:lang w:val="en-GB"/>
        </w:rPr>
        <w:t>An</w:t>
      </w:r>
      <w:r w:rsidR="00DC1492" w:rsidRPr="0044090D">
        <w:rPr>
          <w:lang w:val="en-GB"/>
        </w:rPr>
        <w:t xml:space="preserve"> undertaking to remit the total of the required contribution, less the non-refundable payment already made at the time of submission of </w:t>
      </w:r>
      <w:r w:rsidRPr="0044090D">
        <w:rPr>
          <w:lang w:val="en-GB"/>
        </w:rPr>
        <w:t>the application, of the amount</w:t>
      </w:r>
      <w:r w:rsidR="00DC1492" w:rsidRPr="0044090D">
        <w:rPr>
          <w:lang w:val="en-GB"/>
        </w:rPr>
        <w:t xml:space="preserve"> specified in the Schedule</w:t>
      </w:r>
      <w:r w:rsidRPr="0044090D">
        <w:rPr>
          <w:lang w:val="en-GB"/>
        </w:rPr>
        <w:t xml:space="preserve"> to LN 47/2014</w:t>
      </w:r>
      <w:r w:rsidR="00DC1492" w:rsidRPr="0044090D">
        <w:rPr>
          <w:lang w:val="en-GB"/>
        </w:rPr>
        <w:t>, when called to</w:t>
      </w:r>
      <w:r w:rsidRPr="0044090D">
        <w:rPr>
          <w:lang w:val="en-GB"/>
        </w:rPr>
        <w:t xml:space="preserve"> do</w:t>
      </w:r>
      <w:r w:rsidR="00DC1492" w:rsidRPr="0044090D">
        <w:rPr>
          <w:lang w:val="en-GB"/>
        </w:rPr>
        <w:t xml:space="preserve"> so by Identity Malta</w:t>
      </w:r>
      <w:r w:rsidR="009D3BE3">
        <w:rPr>
          <w:lang w:val="en-GB"/>
        </w:rPr>
        <w:t xml:space="preserve"> (see </w:t>
      </w:r>
      <w:r w:rsidR="00C31AB9">
        <w:rPr>
          <w:lang w:val="en-GB"/>
        </w:rPr>
        <w:t>point</w:t>
      </w:r>
      <w:r w:rsidR="009D3BE3">
        <w:rPr>
          <w:lang w:val="en-GB"/>
        </w:rPr>
        <w:t xml:space="preserve"> 2.1 below)</w:t>
      </w:r>
      <w:r w:rsidR="00DC1492" w:rsidRPr="0044090D">
        <w:rPr>
          <w:lang w:val="en-GB"/>
        </w:rPr>
        <w:t>;</w:t>
      </w:r>
    </w:p>
    <w:p w14:paraId="7D43CBCB" w14:textId="77777777" w:rsidR="00DC1492" w:rsidRPr="0044090D" w:rsidRDefault="00A514B5" w:rsidP="00ED5925">
      <w:pPr>
        <w:pStyle w:val="MBT"/>
        <w:numPr>
          <w:ilvl w:val="0"/>
          <w:numId w:val="14"/>
        </w:numPr>
        <w:rPr>
          <w:lang w:val="en-GB"/>
        </w:rPr>
      </w:pPr>
      <w:r w:rsidRPr="0044090D">
        <w:rPr>
          <w:lang w:val="en-GB"/>
        </w:rPr>
        <w:t>An</w:t>
      </w:r>
      <w:r w:rsidR="00DC1492" w:rsidRPr="0044090D">
        <w:rPr>
          <w:lang w:val="en-GB"/>
        </w:rPr>
        <w:t xml:space="preserve"> undertaking to purchase or take on lease immovable residential property in Malta</w:t>
      </w:r>
      <w:r w:rsidR="009D3BE3">
        <w:rPr>
          <w:lang w:val="en-GB"/>
        </w:rPr>
        <w:t xml:space="preserve"> (see </w:t>
      </w:r>
      <w:r w:rsidR="00C31AB9">
        <w:rPr>
          <w:lang w:val="en-GB"/>
        </w:rPr>
        <w:t>point</w:t>
      </w:r>
      <w:r w:rsidR="009D3BE3">
        <w:rPr>
          <w:lang w:val="en-GB"/>
        </w:rPr>
        <w:t xml:space="preserve"> 2.1 below)</w:t>
      </w:r>
      <w:r w:rsidR="00DC1492" w:rsidRPr="0044090D">
        <w:rPr>
          <w:lang w:val="en-GB"/>
        </w:rPr>
        <w:t>;</w:t>
      </w:r>
    </w:p>
    <w:p w14:paraId="2CEE2B40" w14:textId="77777777" w:rsidR="00DC1492" w:rsidRPr="0044090D" w:rsidRDefault="00A514B5" w:rsidP="00ED5925">
      <w:pPr>
        <w:pStyle w:val="MBT"/>
        <w:numPr>
          <w:ilvl w:val="0"/>
          <w:numId w:val="14"/>
        </w:numPr>
        <w:rPr>
          <w:lang w:val="en-GB"/>
        </w:rPr>
      </w:pPr>
      <w:r w:rsidRPr="0044090D">
        <w:rPr>
          <w:lang w:val="en-GB"/>
        </w:rPr>
        <w:t>An</w:t>
      </w:r>
      <w:r w:rsidR="00E16069" w:rsidRPr="0044090D">
        <w:rPr>
          <w:lang w:val="en-GB"/>
        </w:rPr>
        <w:t xml:space="preserve"> undertaking to make</w:t>
      </w:r>
      <w:r w:rsidR="00DC1492" w:rsidRPr="0044090D">
        <w:rPr>
          <w:lang w:val="en-GB"/>
        </w:rPr>
        <w:t xml:space="preserve"> other investments in Malta in accordance with </w:t>
      </w:r>
      <w:r w:rsidRPr="0044090D">
        <w:rPr>
          <w:lang w:val="en-GB"/>
        </w:rPr>
        <w:t>LN 47/2014</w:t>
      </w:r>
      <w:r w:rsidR="00417ED8" w:rsidRPr="0044090D">
        <w:rPr>
          <w:lang w:val="en-GB"/>
        </w:rPr>
        <w:t xml:space="preserve"> (see </w:t>
      </w:r>
      <w:r w:rsidR="00C31AB9">
        <w:rPr>
          <w:lang w:val="en-GB"/>
        </w:rPr>
        <w:t xml:space="preserve">point </w:t>
      </w:r>
      <w:r w:rsidR="00417ED8" w:rsidRPr="0044090D">
        <w:rPr>
          <w:lang w:val="en-GB"/>
        </w:rPr>
        <w:t>2.1</w:t>
      </w:r>
      <w:r w:rsidR="00C31AB9">
        <w:rPr>
          <w:lang w:val="en-GB"/>
        </w:rPr>
        <w:t xml:space="preserve"> </w:t>
      </w:r>
      <w:r w:rsidR="00417ED8" w:rsidRPr="0044090D">
        <w:rPr>
          <w:lang w:val="en-GB"/>
        </w:rPr>
        <w:t>below)</w:t>
      </w:r>
      <w:r w:rsidR="00DC1492" w:rsidRPr="0044090D">
        <w:rPr>
          <w:lang w:val="en-GB"/>
        </w:rPr>
        <w:t>; and</w:t>
      </w:r>
    </w:p>
    <w:p w14:paraId="47FDFD82" w14:textId="77777777" w:rsidR="00DC1492" w:rsidRPr="0044090D" w:rsidRDefault="00A514B5" w:rsidP="00ED5925">
      <w:pPr>
        <w:pStyle w:val="MBT"/>
        <w:numPr>
          <w:ilvl w:val="0"/>
          <w:numId w:val="14"/>
        </w:numPr>
        <w:rPr>
          <w:lang w:val="en-GB"/>
        </w:rPr>
      </w:pPr>
      <w:r w:rsidRPr="0044090D">
        <w:rPr>
          <w:lang w:val="en-GB"/>
        </w:rPr>
        <w:t>Any</w:t>
      </w:r>
      <w:r w:rsidR="00DC1492" w:rsidRPr="0044090D">
        <w:rPr>
          <w:lang w:val="en-GB"/>
        </w:rPr>
        <w:t xml:space="preserve"> other document as may be required from time to time by notice issued by Identity Malta.</w:t>
      </w:r>
    </w:p>
    <w:p w14:paraId="75F33419" w14:textId="77777777" w:rsidR="00DC1492" w:rsidRPr="0044090D" w:rsidRDefault="00DC1492" w:rsidP="00243DF3">
      <w:pPr>
        <w:pStyle w:val="MBT"/>
        <w:rPr>
          <w:lang w:val="en-GB"/>
        </w:rPr>
      </w:pPr>
    </w:p>
    <w:p w14:paraId="0E22950D" w14:textId="77777777" w:rsidR="00F54A7A" w:rsidRPr="0044090D" w:rsidRDefault="00F54A7A" w:rsidP="00243DF3">
      <w:pPr>
        <w:pStyle w:val="MBT"/>
        <w:rPr>
          <w:lang w:val="en-GB"/>
        </w:rPr>
      </w:pPr>
      <w:r w:rsidRPr="0044090D">
        <w:rPr>
          <w:lang w:val="en-GB"/>
        </w:rPr>
        <w:t>Application forms and accompanying documents must be complete</w:t>
      </w:r>
      <w:r w:rsidR="00F46CE5" w:rsidRPr="0044090D">
        <w:rPr>
          <w:lang w:val="en-GB"/>
        </w:rPr>
        <w:t>d</w:t>
      </w:r>
      <w:r w:rsidRPr="0044090D">
        <w:rPr>
          <w:lang w:val="en-GB"/>
        </w:rPr>
        <w:t xml:space="preserve"> in English. If the original language of a document is not English, it must be accompanied by an authenticated translation</w:t>
      </w:r>
      <w:r w:rsidR="0081051E">
        <w:rPr>
          <w:lang w:val="en-GB"/>
        </w:rPr>
        <w:t>.</w:t>
      </w:r>
      <w:r w:rsidR="00E16069" w:rsidRPr="0044090D">
        <w:rPr>
          <w:rStyle w:val="FootnoteReference"/>
          <w:lang w:val="en-GB"/>
        </w:rPr>
        <w:footnoteReference w:id="42"/>
      </w:r>
      <w:r w:rsidRPr="0044090D">
        <w:rPr>
          <w:lang w:val="en-GB"/>
        </w:rPr>
        <w:t xml:space="preserve"> </w:t>
      </w:r>
      <w:r w:rsidR="00A514B5" w:rsidRPr="0044090D">
        <w:rPr>
          <w:lang w:val="en-GB"/>
        </w:rPr>
        <w:t xml:space="preserve"> </w:t>
      </w:r>
    </w:p>
    <w:p w14:paraId="5FBCD1D6" w14:textId="77777777" w:rsidR="00F46CE5" w:rsidRPr="0044090D" w:rsidRDefault="00F46CE5" w:rsidP="00243DF3">
      <w:pPr>
        <w:pStyle w:val="MBT"/>
        <w:rPr>
          <w:lang w:val="en-GB"/>
        </w:rPr>
      </w:pPr>
    </w:p>
    <w:p w14:paraId="69CAEED5" w14:textId="77777777" w:rsidR="00EC58D0" w:rsidRPr="0044090D" w:rsidRDefault="0006201B" w:rsidP="00EC58D0">
      <w:pPr>
        <w:pStyle w:val="MBT"/>
        <w:rPr>
          <w:lang w:val="en-GB"/>
        </w:rPr>
      </w:pPr>
      <w:r w:rsidRPr="0044090D">
        <w:rPr>
          <w:lang w:val="en-GB"/>
        </w:rPr>
        <w:t xml:space="preserve">Once Identity Malta has formally accepted the application and supporting documentation, the remaining part of the non-refundable </w:t>
      </w:r>
      <w:r w:rsidR="00417ED8" w:rsidRPr="0044090D">
        <w:rPr>
          <w:lang w:val="en-GB"/>
        </w:rPr>
        <w:t>payment</w:t>
      </w:r>
      <w:r w:rsidRPr="0044090D">
        <w:rPr>
          <w:lang w:val="en-GB"/>
        </w:rPr>
        <w:t xml:space="preserve"> (EUR 5,000) and the relevant fees</w:t>
      </w:r>
      <w:r w:rsidR="00EC58D0" w:rsidRPr="0044090D">
        <w:rPr>
          <w:lang w:val="en-GB"/>
        </w:rPr>
        <w:t xml:space="preserve"> it</w:t>
      </w:r>
      <w:r w:rsidR="007150E0" w:rsidRPr="0044090D">
        <w:rPr>
          <w:lang w:val="en-GB"/>
        </w:rPr>
        <w:t xml:space="preserve"> issue</w:t>
      </w:r>
      <w:r w:rsidR="00EC58D0" w:rsidRPr="0044090D">
        <w:rPr>
          <w:lang w:val="en-GB"/>
        </w:rPr>
        <w:t>s</w:t>
      </w:r>
      <w:r w:rsidR="007150E0" w:rsidRPr="0044090D">
        <w:rPr>
          <w:lang w:val="en-GB"/>
        </w:rPr>
        <w:t xml:space="preserve"> a Letter of Approval in Principle to the main applicant informing him/her that </w:t>
      </w:r>
      <w:r w:rsidR="0089055B">
        <w:rPr>
          <w:lang w:val="en-GB"/>
        </w:rPr>
        <w:t>s/</w:t>
      </w:r>
      <w:r w:rsidR="007150E0" w:rsidRPr="0044090D">
        <w:rPr>
          <w:lang w:val="en-GB"/>
        </w:rPr>
        <w:t>he must provide:</w:t>
      </w:r>
      <w:r w:rsidR="00EC58D0" w:rsidRPr="0044090D">
        <w:rPr>
          <w:lang w:val="en-GB"/>
        </w:rPr>
        <w:t xml:space="preserve"> </w:t>
      </w:r>
    </w:p>
    <w:p w14:paraId="29395765" w14:textId="77777777" w:rsidR="00A31E88" w:rsidRPr="0044090D" w:rsidRDefault="00A31E88" w:rsidP="00EC58D0">
      <w:pPr>
        <w:pStyle w:val="MBT"/>
        <w:rPr>
          <w:lang w:val="en-GB"/>
        </w:rPr>
      </w:pPr>
    </w:p>
    <w:p w14:paraId="17DA7464" w14:textId="77777777" w:rsidR="00EC58D0" w:rsidRPr="0044090D" w:rsidRDefault="00417ED8" w:rsidP="00ED5925">
      <w:pPr>
        <w:pStyle w:val="MBT"/>
        <w:numPr>
          <w:ilvl w:val="0"/>
          <w:numId w:val="21"/>
        </w:numPr>
        <w:rPr>
          <w:lang w:val="en-GB"/>
        </w:rPr>
      </w:pPr>
      <w:r w:rsidRPr="0044090D">
        <w:rPr>
          <w:lang w:val="en-GB"/>
        </w:rPr>
        <w:t>Evidence</w:t>
      </w:r>
      <w:r w:rsidR="00EC58D0" w:rsidRPr="0044090D">
        <w:rPr>
          <w:lang w:val="en-GB"/>
        </w:rPr>
        <w:t xml:space="preserve"> that the main applicant and dependants are covered by a global health insurance policy and a declaration that they are in a position to retain such a policy indefinitely;</w:t>
      </w:r>
    </w:p>
    <w:p w14:paraId="32AFEABC" w14:textId="77777777" w:rsidR="00EC58D0" w:rsidRPr="0044090D" w:rsidRDefault="00417ED8" w:rsidP="00ED5925">
      <w:pPr>
        <w:pStyle w:val="MBT"/>
        <w:numPr>
          <w:ilvl w:val="0"/>
          <w:numId w:val="21"/>
        </w:numPr>
        <w:rPr>
          <w:lang w:val="en-GB"/>
        </w:rPr>
      </w:pPr>
      <w:r w:rsidRPr="0044090D">
        <w:rPr>
          <w:lang w:val="en-GB"/>
        </w:rPr>
        <w:t xml:space="preserve">A </w:t>
      </w:r>
      <w:r w:rsidR="00EC58D0" w:rsidRPr="0044090D">
        <w:rPr>
          <w:lang w:val="en-GB"/>
        </w:rPr>
        <w:t>written undertaking to either: (a) acquire and hold a residential immovable property in Malta having a minimum value of EUR 350,000; or (b) take on lease a residential immovable property for a minimum annual rent of EUR 16,000</w:t>
      </w:r>
      <w:r w:rsidR="0081051E">
        <w:rPr>
          <w:lang w:val="en-GB"/>
        </w:rPr>
        <w:t>.</w:t>
      </w:r>
      <w:r w:rsidR="00EC58D0" w:rsidRPr="0044090D">
        <w:rPr>
          <w:rStyle w:val="FootnoteReference"/>
          <w:lang w:val="en-GB"/>
        </w:rPr>
        <w:footnoteReference w:id="43"/>
      </w:r>
    </w:p>
    <w:p w14:paraId="21CCEFF0" w14:textId="77777777" w:rsidR="007150E0" w:rsidRPr="0044090D" w:rsidRDefault="007150E0" w:rsidP="007150E0">
      <w:pPr>
        <w:pStyle w:val="MBT"/>
        <w:rPr>
          <w:lang w:val="en-GB"/>
        </w:rPr>
      </w:pPr>
    </w:p>
    <w:p w14:paraId="4E1D8229" w14:textId="4BBA9783" w:rsidR="00EC58D0" w:rsidRPr="0044090D" w:rsidRDefault="00EC58D0" w:rsidP="00EC58D0">
      <w:pPr>
        <w:pStyle w:val="MBT"/>
        <w:rPr>
          <w:lang w:val="en-GB"/>
        </w:rPr>
      </w:pPr>
      <w:r w:rsidRPr="0044090D">
        <w:rPr>
          <w:lang w:val="en-GB"/>
        </w:rPr>
        <w:t xml:space="preserve">If the conditions are satisfied, the Minister will issue the certificate of </w:t>
      </w:r>
      <w:r w:rsidR="00DE2A3B" w:rsidRPr="0044090D">
        <w:rPr>
          <w:lang w:val="en-GB"/>
        </w:rPr>
        <w:t>naturalisation</w:t>
      </w:r>
      <w:r w:rsidRPr="0044090D">
        <w:rPr>
          <w:lang w:val="en-GB"/>
        </w:rPr>
        <w:t xml:space="preserve"> within two years but not less than six months from the date of application</w:t>
      </w:r>
      <w:r w:rsidR="0081051E">
        <w:rPr>
          <w:lang w:val="en-GB"/>
        </w:rPr>
        <w:t>.</w:t>
      </w:r>
      <w:r w:rsidR="00417ED8" w:rsidRPr="0044090D">
        <w:rPr>
          <w:rStyle w:val="FootnoteReference"/>
          <w:lang w:val="en-GB"/>
        </w:rPr>
        <w:footnoteReference w:id="44"/>
      </w:r>
      <w:r w:rsidR="00417ED8" w:rsidRPr="0044090D">
        <w:rPr>
          <w:lang w:val="en-GB"/>
        </w:rPr>
        <w:t xml:space="preserve"> </w:t>
      </w:r>
      <w:r w:rsidRPr="0044090D">
        <w:rPr>
          <w:lang w:val="en-GB"/>
        </w:rPr>
        <w:t>The process normally takes a year to complete</w:t>
      </w:r>
      <w:r w:rsidR="0081051E">
        <w:rPr>
          <w:lang w:val="en-GB"/>
        </w:rPr>
        <w:t>.</w:t>
      </w:r>
      <w:r w:rsidRPr="0044090D">
        <w:rPr>
          <w:rStyle w:val="FootnoteReference"/>
          <w:lang w:val="en-GB"/>
        </w:rPr>
        <w:footnoteReference w:id="45"/>
      </w:r>
      <w:r w:rsidR="00417ED8" w:rsidRPr="0044090D">
        <w:rPr>
          <w:lang w:val="en-GB"/>
        </w:rPr>
        <w:t xml:space="preserve"> </w:t>
      </w:r>
      <w:r w:rsidR="00794E74">
        <w:rPr>
          <w:lang w:val="en-GB"/>
        </w:rPr>
        <w:t xml:space="preserve">The </w:t>
      </w:r>
      <w:r w:rsidR="00794E74">
        <w:t xml:space="preserve">time </w:t>
      </w:r>
      <w:r w:rsidR="00440A7F">
        <w:t>period</w:t>
      </w:r>
      <w:r w:rsidR="00794E74">
        <w:t xml:space="preserve"> between the application for the e-</w:t>
      </w:r>
      <w:r w:rsidR="00440A7F">
        <w:t>R</w:t>
      </w:r>
      <w:r w:rsidR="00794E74">
        <w:t xml:space="preserve">esidence </w:t>
      </w:r>
      <w:r w:rsidR="000B387C">
        <w:t>C</w:t>
      </w:r>
      <w:r w:rsidR="00794E74">
        <w:t xml:space="preserve">ard and the issuance of the certificate of </w:t>
      </w:r>
      <w:proofErr w:type="spellStart"/>
      <w:r w:rsidR="00794E74">
        <w:t>naturalisation</w:t>
      </w:r>
      <w:proofErr w:type="spellEnd"/>
      <w:r w:rsidR="00794E74">
        <w:t xml:space="preserve"> constitutes a residence period.</w:t>
      </w:r>
      <w:r w:rsidR="000001B8">
        <w:t xml:space="preserve"> This period of time may be counted towards </w:t>
      </w:r>
      <w:r w:rsidR="00440A7F">
        <w:t>the</w:t>
      </w:r>
      <w:r w:rsidR="000001B8">
        <w:t xml:space="preserve"> </w:t>
      </w:r>
      <w:proofErr w:type="gramStart"/>
      <w:r w:rsidR="000001B8">
        <w:t>one year</w:t>
      </w:r>
      <w:proofErr w:type="gramEnd"/>
      <w:r w:rsidR="000001B8">
        <w:t xml:space="preserve"> effective residence requirement.</w:t>
      </w:r>
      <w:r w:rsidR="000001B8">
        <w:rPr>
          <w:rStyle w:val="FootnoteReference"/>
          <w:lang w:val="en-GB"/>
        </w:rPr>
        <w:footnoteReference w:id="46"/>
      </w:r>
      <w:r w:rsidR="000001B8">
        <w:t xml:space="preserve"> </w:t>
      </w:r>
      <w:r w:rsidR="00417ED8" w:rsidRPr="0044090D">
        <w:rPr>
          <w:lang w:val="en-GB"/>
        </w:rPr>
        <w:t>The time frames for the various s</w:t>
      </w:r>
      <w:r w:rsidR="00A31E88" w:rsidRPr="0044090D">
        <w:rPr>
          <w:lang w:val="en-GB"/>
        </w:rPr>
        <w:t xml:space="preserve">tages are detailed in </w:t>
      </w:r>
      <w:r w:rsidR="0089055B">
        <w:rPr>
          <w:lang w:val="en-GB"/>
        </w:rPr>
        <w:t xml:space="preserve">point </w:t>
      </w:r>
      <w:r w:rsidR="00A31E88" w:rsidRPr="0044090D">
        <w:rPr>
          <w:lang w:val="en-GB"/>
        </w:rPr>
        <w:t>2</w:t>
      </w:r>
      <w:r w:rsidR="00417ED8" w:rsidRPr="0044090D">
        <w:rPr>
          <w:lang w:val="en-GB"/>
        </w:rPr>
        <w:t>.1</w:t>
      </w:r>
      <w:r w:rsidR="0089055B">
        <w:rPr>
          <w:lang w:val="en-GB"/>
        </w:rPr>
        <w:t xml:space="preserve"> </w:t>
      </w:r>
      <w:r w:rsidR="00417ED8" w:rsidRPr="0044090D">
        <w:rPr>
          <w:lang w:val="en-GB"/>
        </w:rPr>
        <w:t>below as part of the verification procedures involved in the application process.</w:t>
      </w:r>
      <w:r w:rsidR="00890A3C">
        <w:rPr>
          <w:lang w:val="en-GB"/>
        </w:rPr>
        <w:t xml:space="preserve"> </w:t>
      </w:r>
    </w:p>
    <w:p w14:paraId="5D172CAB" w14:textId="77777777" w:rsidR="00EC58D0" w:rsidRPr="0044090D" w:rsidRDefault="00EC58D0" w:rsidP="00EC58D0">
      <w:pPr>
        <w:pStyle w:val="MBT"/>
        <w:rPr>
          <w:lang w:val="en-GB"/>
        </w:rPr>
      </w:pPr>
    </w:p>
    <w:p w14:paraId="5D198ACA" w14:textId="23197097" w:rsidR="00EC58D0" w:rsidRPr="0044090D" w:rsidRDefault="00417ED8" w:rsidP="00EC58D0">
      <w:pPr>
        <w:pStyle w:val="MBT"/>
        <w:rPr>
          <w:lang w:val="en-GB"/>
        </w:rPr>
      </w:pPr>
      <w:r w:rsidRPr="0044090D">
        <w:rPr>
          <w:lang w:val="en-GB"/>
        </w:rPr>
        <w:t xml:space="preserve">After the applicant takes an </w:t>
      </w:r>
      <w:r w:rsidRPr="0044090D">
        <w:rPr>
          <w:b/>
          <w:lang w:val="en-GB"/>
        </w:rPr>
        <w:t>oath of allegiance</w:t>
      </w:r>
      <w:r w:rsidRPr="0044090D">
        <w:rPr>
          <w:lang w:val="en-GB"/>
        </w:rPr>
        <w:t>, t</w:t>
      </w:r>
      <w:r w:rsidR="00EC58D0" w:rsidRPr="0044090D">
        <w:rPr>
          <w:lang w:val="en-GB"/>
        </w:rPr>
        <w:t xml:space="preserve">he </w:t>
      </w:r>
      <w:r w:rsidR="00EC58D0" w:rsidRPr="0044090D">
        <w:rPr>
          <w:b/>
          <w:lang w:val="en-GB"/>
        </w:rPr>
        <w:t>certificate of naturalisation</w:t>
      </w:r>
      <w:r w:rsidR="00EC58D0" w:rsidRPr="0044090D">
        <w:rPr>
          <w:lang w:val="en-GB"/>
        </w:rPr>
        <w:t xml:space="preserve"> becomes effective and is made available to the applicant. At this point, the application for a passport may also proceed</w:t>
      </w:r>
      <w:r w:rsidR="0081051E">
        <w:rPr>
          <w:lang w:val="en-GB"/>
        </w:rPr>
        <w:t>.</w:t>
      </w:r>
      <w:r w:rsidRPr="0044090D">
        <w:rPr>
          <w:rStyle w:val="FootnoteReference"/>
          <w:lang w:val="en-GB"/>
        </w:rPr>
        <w:footnoteReference w:id="47"/>
      </w:r>
      <w:r w:rsidR="003E594D">
        <w:rPr>
          <w:lang w:val="en-GB"/>
        </w:rPr>
        <w:t xml:space="preserve"> The applicant must be physically present in Malta to take the oath of allegiance. This means that the applicant must be present in Malta twice: once for the purposes of taking the applicant’s biometric data for the </w:t>
      </w:r>
      <w:r w:rsidR="00890A3C">
        <w:rPr>
          <w:lang w:val="en-GB"/>
        </w:rPr>
        <w:t>e-</w:t>
      </w:r>
      <w:r w:rsidR="00440A7F">
        <w:rPr>
          <w:lang w:val="en-GB"/>
        </w:rPr>
        <w:t>R</w:t>
      </w:r>
      <w:r w:rsidR="003E594D">
        <w:rPr>
          <w:lang w:val="en-GB"/>
        </w:rPr>
        <w:t xml:space="preserve">esidence </w:t>
      </w:r>
      <w:r w:rsidR="000B387C">
        <w:rPr>
          <w:lang w:val="en-GB"/>
        </w:rPr>
        <w:t>C</w:t>
      </w:r>
      <w:r w:rsidR="003E594D">
        <w:rPr>
          <w:lang w:val="en-GB"/>
        </w:rPr>
        <w:t>ard and once to take the oath of allegiance.</w:t>
      </w:r>
      <w:r w:rsidR="00440A7F">
        <w:rPr>
          <w:rStyle w:val="FootnoteReference"/>
          <w:lang w:val="en-GB"/>
        </w:rPr>
        <w:footnoteReference w:id="48"/>
      </w:r>
    </w:p>
    <w:p w14:paraId="37EE4C16" w14:textId="77777777" w:rsidR="007150E0" w:rsidRPr="0044090D" w:rsidRDefault="007150E0" w:rsidP="00243DF3">
      <w:pPr>
        <w:pStyle w:val="MBT"/>
        <w:rPr>
          <w:lang w:val="en-GB"/>
        </w:rPr>
      </w:pPr>
    </w:p>
    <w:p w14:paraId="4BE9C6A0" w14:textId="2702644A" w:rsidR="00F46CE5" w:rsidRPr="00FC4674" w:rsidRDefault="00F46CE5" w:rsidP="00243DF3">
      <w:pPr>
        <w:pStyle w:val="MBT"/>
        <w:rPr>
          <w:lang w:val="en-GB"/>
        </w:rPr>
      </w:pPr>
      <w:r w:rsidRPr="0044090D">
        <w:rPr>
          <w:b/>
          <w:lang w:val="en-GB"/>
        </w:rPr>
        <w:t xml:space="preserve">Applications may be </w:t>
      </w:r>
      <w:r w:rsidR="00441EAB" w:rsidRPr="0044090D">
        <w:rPr>
          <w:b/>
          <w:lang w:val="en-GB"/>
        </w:rPr>
        <w:t>turned down</w:t>
      </w:r>
      <w:r w:rsidRPr="0044090D">
        <w:rPr>
          <w:b/>
          <w:lang w:val="en-GB"/>
        </w:rPr>
        <w:t xml:space="preserve"> </w:t>
      </w:r>
      <w:r w:rsidRPr="0044090D">
        <w:rPr>
          <w:lang w:val="en-GB"/>
        </w:rPr>
        <w:t xml:space="preserve">for a number of reasons. </w:t>
      </w:r>
      <w:r w:rsidR="00417ED8" w:rsidRPr="0044090D">
        <w:rPr>
          <w:lang w:val="en-GB"/>
        </w:rPr>
        <w:t>Regulation 4(8) of LN 47/</w:t>
      </w:r>
      <w:r w:rsidR="00441EAB" w:rsidRPr="0044090D">
        <w:rPr>
          <w:lang w:val="en-GB"/>
        </w:rPr>
        <w:t>2014 provides that an application</w:t>
      </w:r>
      <w:r w:rsidRPr="0044090D">
        <w:rPr>
          <w:lang w:val="en-GB"/>
        </w:rPr>
        <w:t xml:space="preserve"> may be declined if the applicant makes a false statement or omits information requested</w:t>
      </w:r>
      <w:r w:rsidR="007667D5">
        <w:rPr>
          <w:lang w:val="en-GB"/>
        </w:rPr>
        <w:t>.</w:t>
      </w:r>
      <w:r w:rsidR="00441EAB" w:rsidRPr="0044090D">
        <w:rPr>
          <w:rStyle w:val="FootnoteReference"/>
          <w:lang w:val="en-GB"/>
        </w:rPr>
        <w:footnoteReference w:id="49"/>
      </w:r>
      <w:r w:rsidRPr="0044090D">
        <w:rPr>
          <w:lang w:val="en-GB"/>
        </w:rPr>
        <w:t xml:space="preserve"> </w:t>
      </w:r>
      <w:r w:rsidR="00441EAB" w:rsidRPr="0044090D">
        <w:rPr>
          <w:lang w:val="en-GB"/>
        </w:rPr>
        <w:t>In accordance with Regulation 4(9) of LN 47/2014, a</w:t>
      </w:r>
      <w:r w:rsidRPr="0044090D">
        <w:rPr>
          <w:lang w:val="en-GB"/>
        </w:rPr>
        <w:t xml:space="preserve">pplications will not be accepted and processed if the forms are not properly completed, dated and signed and accompanied by all required documents, fees and undertakings including the undertaking to remit the required contribution </w:t>
      </w:r>
      <w:r w:rsidRPr="00FC4674">
        <w:rPr>
          <w:lang w:val="en-GB"/>
        </w:rPr>
        <w:t xml:space="preserve">following the approval </w:t>
      </w:r>
      <w:r w:rsidR="00441EAB" w:rsidRPr="00FC4674">
        <w:rPr>
          <w:lang w:val="en-GB"/>
        </w:rPr>
        <w:t>i</w:t>
      </w:r>
      <w:r w:rsidRPr="00FC4674">
        <w:rPr>
          <w:lang w:val="en-GB"/>
        </w:rPr>
        <w:t xml:space="preserve">n principle of the application. </w:t>
      </w:r>
    </w:p>
    <w:p w14:paraId="6275D1C6" w14:textId="77777777" w:rsidR="004A7ADB" w:rsidRPr="00826CB3" w:rsidRDefault="004A7ADB" w:rsidP="00B02E9F">
      <w:pPr>
        <w:pStyle w:val="MMultilevel"/>
        <w:numPr>
          <w:ilvl w:val="0"/>
          <w:numId w:val="0"/>
        </w:numPr>
        <w:rPr>
          <w:lang w:val="en-GB"/>
        </w:rPr>
      </w:pPr>
    </w:p>
    <w:p w14:paraId="5CFD771D" w14:textId="77777777" w:rsidR="002614C2" w:rsidRPr="00826CB3" w:rsidRDefault="004A7ADB" w:rsidP="002614C2">
      <w:pPr>
        <w:pStyle w:val="MBT"/>
        <w:rPr>
          <w:lang w:val="en-GB"/>
        </w:rPr>
      </w:pPr>
      <w:r w:rsidRPr="00826CB3">
        <w:rPr>
          <w:lang w:val="en-GB"/>
        </w:rPr>
        <w:t>Article 25A of the Maltese Citizenship Act requires the Office of the Regulator of the IIP</w:t>
      </w:r>
      <w:r w:rsidR="0089055B">
        <w:rPr>
          <w:lang w:val="en-GB"/>
        </w:rPr>
        <w:t xml:space="preserve"> (</w:t>
      </w:r>
      <w:proofErr w:type="spellStart"/>
      <w:r w:rsidR="0089055B">
        <w:rPr>
          <w:lang w:val="en-GB"/>
        </w:rPr>
        <w:t>ORiiP</w:t>
      </w:r>
      <w:proofErr w:type="spellEnd"/>
      <w:r w:rsidR="0089055B">
        <w:rPr>
          <w:lang w:val="en-GB"/>
        </w:rPr>
        <w:t>)</w:t>
      </w:r>
      <w:r w:rsidRPr="00826CB3">
        <w:rPr>
          <w:lang w:val="en-GB"/>
        </w:rPr>
        <w:t xml:space="preserve"> to investigate </w:t>
      </w:r>
      <w:r w:rsidRPr="00826CB3">
        <w:rPr>
          <w:b/>
          <w:lang w:val="en-GB"/>
        </w:rPr>
        <w:t>complaints about the IIP</w:t>
      </w:r>
      <w:r w:rsidRPr="00826CB3">
        <w:rPr>
          <w:lang w:val="en-GB"/>
        </w:rPr>
        <w:t xml:space="preserve">. </w:t>
      </w:r>
      <w:r w:rsidR="002614C2" w:rsidRPr="00826CB3">
        <w:rPr>
          <w:lang w:val="en-GB"/>
        </w:rPr>
        <w:t xml:space="preserve">According to the web portal of the Office of the Regulator ‘this empowers the Regulator to carry out related investigations’. </w:t>
      </w:r>
    </w:p>
    <w:p w14:paraId="02CF79BE" w14:textId="77777777" w:rsidR="002614C2" w:rsidRPr="00826CB3" w:rsidRDefault="002614C2" w:rsidP="002614C2">
      <w:pPr>
        <w:pStyle w:val="MBT"/>
        <w:rPr>
          <w:lang w:val="en-GB"/>
        </w:rPr>
      </w:pPr>
    </w:p>
    <w:p w14:paraId="6C7E1835" w14:textId="7FAB3056" w:rsidR="002614C2" w:rsidRPr="00826CB3" w:rsidRDefault="004A7ADB" w:rsidP="002614C2">
      <w:pPr>
        <w:pStyle w:val="MBT"/>
      </w:pPr>
      <w:r w:rsidRPr="00826CB3">
        <w:rPr>
          <w:lang w:val="en-GB"/>
        </w:rPr>
        <w:t>However</w:t>
      </w:r>
      <w:r w:rsidR="0089055B">
        <w:rPr>
          <w:lang w:val="en-GB"/>
        </w:rPr>
        <w:t>,</w:t>
      </w:r>
      <w:r w:rsidRPr="00826CB3">
        <w:rPr>
          <w:lang w:val="en-GB"/>
        </w:rPr>
        <w:t xml:space="preserve"> a legal instrument prescribing the formalities for such complaints to the Regulator </w:t>
      </w:r>
      <w:r w:rsidR="00B02E9F" w:rsidRPr="00826CB3">
        <w:rPr>
          <w:lang w:val="en-GB"/>
        </w:rPr>
        <w:t>has</w:t>
      </w:r>
      <w:r w:rsidR="002614C2" w:rsidRPr="00826CB3">
        <w:rPr>
          <w:lang w:val="en-GB"/>
        </w:rPr>
        <w:t xml:space="preserve"> not yet been adopted in Malta. Discussions on the complaints procedure have been underway between the Regulator, the Office of the Attorney General and related stakeholders ever since the programme started</w:t>
      </w:r>
      <w:r w:rsidR="007667D5">
        <w:rPr>
          <w:lang w:val="en-GB"/>
        </w:rPr>
        <w:t>.</w:t>
      </w:r>
      <w:r w:rsidR="002614C2" w:rsidRPr="00826CB3">
        <w:rPr>
          <w:rStyle w:val="FootnoteReference"/>
          <w:lang w:val="en-GB"/>
        </w:rPr>
        <w:footnoteReference w:id="50"/>
      </w:r>
      <w:r w:rsidR="002614C2" w:rsidRPr="00826CB3">
        <w:rPr>
          <w:lang w:val="en-GB"/>
        </w:rPr>
        <w:t xml:space="preserve"> A draft of the Individual Investor Programme (Complaints Procedure) Regulations, 2015 </w:t>
      </w:r>
      <w:r w:rsidR="0089055B">
        <w:rPr>
          <w:lang w:val="en-GB"/>
        </w:rPr>
        <w:t xml:space="preserve">is </w:t>
      </w:r>
      <w:r w:rsidR="002614C2" w:rsidRPr="00826CB3">
        <w:rPr>
          <w:lang w:val="en-GB"/>
        </w:rPr>
        <w:t xml:space="preserve">annexed to the Second Annual Report on the IIP Programme of the Government </w:t>
      </w:r>
      <w:r w:rsidR="002614C2" w:rsidRPr="0081051E">
        <w:rPr>
          <w:lang w:val="en-GB"/>
        </w:rPr>
        <w:t>of Malta.</w:t>
      </w:r>
      <w:r w:rsidR="002614C2" w:rsidRPr="0081051E">
        <w:rPr>
          <w:rStyle w:val="FootnoteReference"/>
          <w:lang w:val="en-GB"/>
        </w:rPr>
        <w:footnoteReference w:id="51"/>
      </w:r>
      <w:r w:rsidR="00B02E9F" w:rsidRPr="0081051E">
        <w:rPr>
          <w:lang w:val="en-GB"/>
        </w:rPr>
        <w:t xml:space="preserve"> </w:t>
      </w:r>
      <w:r w:rsidR="00FC4674" w:rsidRPr="0081051E">
        <w:rPr>
          <w:lang w:val="en-GB"/>
        </w:rPr>
        <w:t>If</w:t>
      </w:r>
      <w:r w:rsidR="00FC4674" w:rsidRPr="00826CB3">
        <w:rPr>
          <w:lang w:val="en-GB"/>
        </w:rPr>
        <w:t xml:space="preserve"> adopted, these</w:t>
      </w:r>
      <w:r w:rsidR="002614C2" w:rsidRPr="00826CB3">
        <w:rPr>
          <w:lang w:val="en-GB"/>
        </w:rPr>
        <w:t xml:space="preserve"> regulations would empower the </w:t>
      </w:r>
      <w:proofErr w:type="spellStart"/>
      <w:r w:rsidR="002614C2" w:rsidRPr="00826CB3">
        <w:rPr>
          <w:lang w:val="en-GB"/>
        </w:rPr>
        <w:t>ORiip</w:t>
      </w:r>
      <w:proofErr w:type="spellEnd"/>
      <w:r w:rsidR="002614C2" w:rsidRPr="00826CB3">
        <w:rPr>
          <w:lang w:val="en-GB"/>
        </w:rPr>
        <w:t xml:space="preserve"> to receive complaints about the IIP from main applicants, </w:t>
      </w:r>
      <w:r w:rsidR="0089055B">
        <w:rPr>
          <w:lang w:val="en-GB"/>
        </w:rPr>
        <w:t>approved a</w:t>
      </w:r>
      <w:r w:rsidR="002614C2" w:rsidRPr="00826CB3">
        <w:rPr>
          <w:lang w:val="en-GB"/>
        </w:rPr>
        <w:t xml:space="preserve">gents, </w:t>
      </w:r>
      <w:r w:rsidR="0089055B">
        <w:rPr>
          <w:lang w:val="en-GB"/>
        </w:rPr>
        <w:t>a</w:t>
      </w:r>
      <w:r w:rsidR="002614C2" w:rsidRPr="00826CB3">
        <w:rPr>
          <w:lang w:val="en-GB"/>
        </w:rPr>
        <w:t xml:space="preserve">ccredited </w:t>
      </w:r>
      <w:r w:rsidR="0089055B">
        <w:rPr>
          <w:lang w:val="en-GB"/>
        </w:rPr>
        <w:t>p</w:t>
      </w:r>
      <w:r w:rsidR="002614C2" w:rsidRPr="00826CB3">
        <w:rPr>
          <w:lang w:val="en-GB"/>
        </w:rPr>
        <w:t xml:space="preserve">ersons, the </w:t>
      </w:r>
      <w:r w:rsidR="0089055B">
        <w:rPr>
          <w:lang w:val="en-GB"/>
        </w:rPr>
        <w:t>c</w:t>
      </w:r>
      <w:r w:rsidR="0089055B" w:rsidRPr="00826CB3">
        <w:rPr>
          <w:lang w:val="en-GB"/>
        </w:rPr>
        <w:t>oncessionaire</w:t>
      </w:r>
      <w:r w:rsidR="002614C2" w:rsidRPr="00826CB3">
        <w:rPr>
          <w:lang w:val="en-GB"/>
        </w:rPr>
        <w:t xml:space="preserve">, an authority or agency that was involved in </w:t>
      </w:r>
      <w:r w:rsidR="0089055B">
        <w:rPr>
          <w:lang w:val="en-GB"/>
        </w:rPr>
        <w:t>providing</w:t>
      </w:r>
      <w:r w:rsidR="002614C2" w:rsidRPr="00826CB3">
        <w:rPr>
          <w:lang w:val="en-GB"/>
        </w:rPr>
        <w:t xml:space="preserve"> information to Identity Malta during the process, and any person aggrieved by the decision.</w:t>
      </w:r>
      <w:r w:rsidR="0089055B">
        <w:rPr>
          <w:lang w:val="en-GB"/>
        </w:rPr>
        <w:t xml:space="preserve"> According to </w:t>
      </w:r>
      <w:r w:rsidR="0081051E" w:rsidRPr="0081051E">
        <w:rPr>
          <w:lang w:val="en-GB"/>
        </w:rPr>
        <w:t xml:space="preserve">Regulation 7 of </w:t>
      </w:r>
      <w:r w:rsidR="00FC4674" w:rsidRPr="0081051E">
        <w:rPr>
          <w:lang w:val="en-GB"/>
        </w:rPr>
        <w:t>the draft Regulation</w:t>
      </w:r>
      <w:r w:rsidR="0081051E" w:rsidRPr="0081051E">
        <w:rPr>
          <w:lang w:val="en-GB"/>
        </w:rPr>
        <w:t>s</w:t>
      </w:r>
      <w:r w:rsidR="00FC4674" w:rsidRPr="0081051E">
        <w:rPr>
          <w:lang w:val="en-GB"/>
        </w:rPr>
        <w:t xml:space="preserve">, the </w:t>
      </w:r>
      <w:proofErr w:type="spellStart"/>
      <w:r w:rsidR="00FC4674" w:rsidRPr="0081051E">
        <w:rPr>
          <w:lang w:val="en-GB"/>
        </w:rPr>
        <w:t>ORiip</w:t>
      </w:r>
      <w:proofErr w:type="spellEnd"/>
      <w:r w:rsidR="00FC4674" w:rsidRPr="0081051E">
        <w:rPr>
          <w:lang w:val="en-GB"/>
        </w:rPr>
        <w:t xml:space="preserve"> ‘</w:t>
      </w:r>
      <w:r w:rsidR="00FC4674" w:rsidRPr="00826CB3">
        <w:rPr>
          <w:lang w:val="en-GB"/>
        </w:rPr>
        <w:t xml:space="preserve">shall not investigate any complaints in regard to which legal proceedings have been instituted or where the matter is </w:t>
      </w:r>
      <w:r w:rsidR="00FC4674" w:rsidRPr="00826CB3">
        <w:rPr>
          <w:i/>
          <w:lang w:val="en-GB"/>
        </w:rPr>
        <w:t>res judicata</w:t>
      </w:r>
      <w:r w:rsidR="00FC4674" w:rsidRPr="0081051E">
        <w:rPr>
          <w:lang w:val="en-GB"/>
        </w:rPr>
        <w:t>’</w:t>
      </w:r>
      <w:r w:rsidR="00FC4674" w:rsidRPr="00826CB3">
        <w:rPr>
          <w:i/>
          <w:lang w:val="en-GB"/>
        </w:rPr>
        <w:t xml:space="preserve"> </w:t>
      </w:r>
      <w:r w:rsidR="00FC4674" w:rsidRPr="00826CB3">
        <w:rPr>
          <w:lang w:val="en-GB"/>
        </w:rPr>
        <w:t>or where the complaint is being ‘</w:t>
      </w:r>
      <w:r w:rsidR="00FC4674" w:rsidRPr="00826CB3">
        <w:t xml:space="preserve">heard in a court of law and, or has been decided by a court of law’. </w:t>
      </w:r>
    </w:p>
    <w:p w14:paraId="3C738D36" w14:textId="77777777" w:rsidR="00FC4674" w:rsidRPr="00826CB3" w:rsidRDefault="00FC4674" w:rsidP="002614C2">
      <w:pPr>
        <w:pStyle w:val="MBT"/>
      </w:pPr>
    </w:p>
    <w:p w14:paraId="37FD2703" w14:textId="77777777" w:rsidR="00FC4674" w:rsidRPr="00826CB3" w:rsidRDefault="00FC4674" w:rsidP="002614C2">
      <w:pPr>
        <w:pStyle w:val="MBT"/>
      </w:pPr>
      <w:r w:rsidRPr="00826CB3">
        <w:lastRenderedPageBreak/>
        <w:t>I</w:t>
      </w:r>
      <w:r w:rsidR="0081051E">
        <w:t>n particular</w:t>
      </w:r>
      <w:r w:rsidR="004257C3">
        <w:t>,</w:t>
      </w:r>
      <w:r w:rsidR="0081051E">
        <w:t xml:space="preserve"> neither the draft R</w:t>
      </w:r>
      <w:r w:rsidRPr="00826CB3">
        <w:t>egulations nor the Maltese Citizenship Act provide for a possibility of judicial review of th</w:t>
      </w:r>
      <w:r w:rsidR="0089055B">
        <w:t>e Minister’s decision. Rather, A</w:t>
      </w:r>
      <w:r w:rsidRPr="00826CB3">
        <w:t>rticle 19 of the Maltese Citizenship Act stipulates that the ‘decision of the Minister on any such application shall not be subject to appeal to or review in any court’.</w:t>
      </w:r>
    </w:p>
    <w:p w14:paraId="05CE6221" w14:textId="77777777" w:rsidR="00FC4674" w:rsidRPr="00826CB3" w:rsidRDefault="00FC4674" w:rsidP="002614C2">
      <w:pPr>
        <w:pStyle w:val="MBT"/>
      </w:pPr>
    </w:p>
    <w:p w14:paraId="59973CC4" w14:textId="432DA4C7" w:rsidR="002614C2" w:rsidRPr="00826CB3" w:rsidRDefault="00FC4674" w:rsidP="002614C2">
      <w:pPr>
        <w:pStyle w:val="MBT"/>
        <w:rPr>
          <w:color w:val="000090"/>
          <w:highlight w:val="yellow"/>
          <w:lang w:val="en-GB"/>
        </w:rPr>
      </w:pPr>
      <w:r w:rsidRPr="00826CB3">
        <w:t xml:space="preserve">In its Fourth Annual Report </w:t>
      </w:r>
      <w:r w:rsidRPr="00826CB3">
        <w:rPr>
          <w:lang w:val="en-GB"/>
        </w:rPr>
        <w:t xml:space="preserve">on the IIP Programme of the Government of Malta, published in November 2017, </w:t>
      </w:r>
      <w:r w:rsidR="0089055B">
        <w:rPr>
          <w:lang w:val="en-GB"/>
        </w:rPr>
        <w:t xml:space="preserve">the </w:t>
      </w:r>
      <w:proofErr w:type="spellStart"/>
      <w:r w:rsidRPr="00826CB3">
        <w:rPr>
          <w:lang w:val="en-GB"/>
        </w:rPr>
        <w:t>ORiip</w:t>
      </w:r>
      <w:proofErr w:type="spellEnd"/>
      <w:r w:rsidRPr="00826CB3">
        <w:rPr>
          <w:lang w:val="en-GB"/>
        </w:rPr>
        <w:t xml:space="preserve"> </w:t>
      </w:r>
      <w:r w:rsidR="00F64798" w:rsidRPr="00826CB3">
        <w:rPr>
          <w:lang w:val="en-GB"/>
        </w:rPr>
        <w:t>stipulates that</w:t>
      </w:r>
      <w:r w:rsidR="00B34D6D" w:rsidRPr="00826CB3">
        <w:rPr>
          <w:lang w:val="en-GB"/>
        </w:rPr>
        <w:t xml:space="preserve"> </w:t>
      </w:r>
      <w:r w:rsidR="00850ED5">
        <w:rPr>
          <w:lang w:val="en-GB"/>
        </w:rPr>
        <w:t>between</w:t>
      </w:r>
      <w:r w:rsidR="00B34D6D" w:rsidRPr="00826CB3">
        <w:rPr>
          <w:lang w:val="en-GB"/>
        </w:rPr>
        <w:t xml:space="preserve"> the start of the programme and 30 June 2016, there </w:t>
      </w:r>
      <w:r w:rsidR="00850ED5">
        <w:rPr>
          <w:lang w:val="en-GB"/>
        </w:rPr>
        <w:t>were only</w:t>
      </w:r>
      <w:r w:rsidR="00B34D6D" w:rsidRPr="00826CB3">
        <w:rPr>
          <w:lang w:val="en-GB"/>
        </w:rPr>
        <w:t xml:space="preserve"> 11 complaints where the </w:t>
      </w:r>
      <w:r w:rsidR="00850ED5">
        <w:rPr>
          <w:lang w:val="en-GB"/>
        </w:rPr>
        <w:t xml:space="preserve">Regulator’s </w:t>
      </w:r>
      <w:r w:rsidR="00B34D6D" w:rsidRPr="00826CB3">
        <w:t xml:space="preserve">intervention was requested. While in the absence of regulation these cases could not be entertained, the key topic of complaints was due diligence. </w:t>
      </w:r>
      <w:r w:rsidR="000001B8">
        <w:t xml:space="preserve">There </w:t>
      </w:r>
      <w:r w:rsidR="00440A7F">
        <w:t>is</w:t>
      </w:r>
      <w:r w:rsidR="000001B8">
        <w:t xml:space="preserve"> no further information on the details of these ad hoc complaints. </w:t>
      </w:r>
      <w:r w:rsidR="00B34D6D" w:rsidRPr="00826CB3">
        <w:t>Moreover, the same report notes that t</w:t>
      </w:r>
      <w:r w:rsidR="0089055B">
        <w:rPr>
          <w:lang w:val="en-GB"/>
        </w:rPr>
        <w:t>here are two on</w:t>
      </w:r>
      <w:r w:rsidR="00F64798" w:rsidRPr="00826CB3">
        <w:rPr>
          <w:lang w:val="en-GB"/>
        </w:rPr>
        <w:t xml:space="preserve">going cases against Identity Malta in relation to the IIP: </w:t>
      </w:r>
      <w:r w:rsidR="00F64798" w:rsidRPr="00826CB3">
        <w:t>case No. 144/2016 (</w:t>
      </w:r>
      <w:r w:rsidR="00F64798" w:rsidRPr="0089055B">
        <w:rPr>
          <w:i/>
        </w:rPr>
        <w:t>Mifsud Cedric L-</w:t>
      </w:r>
      <w:proofErr w:type="spellStart"/>
      <w:r w:rsidR="00F64798" w:rsidRPr="0089055B">
        <w:rPr>
          <w:i/>
        </w:rPr>
        <w:t>Avukat</w:t>
      </w:r>
      <w:proofErr w:type="spellEnd"/>
      <w:r w:rsidR="00F64798" w:rsidRPr="0089055B">
        <w:rPr>
          <w:i/>
        </w:rPr>
        <w:t xml:space="preserve"> </w:t>
      </w:r>
      <w:proofErr w:type="spellStart"/>
      <w:r w:rsidR="00F64798" w:rsidRPr="0089055B">
        <w:rPr>
          <w:i/>
        </w:rPr>
        <w:t>Dr</w:t>
      </w:r>
      <w:proofErr w:type="spellEnd"/>
      <w:r w:rsidR="00F64798" w:rsidRPr="0089055B">
        <w:rPr>
          <w:i/>
        </w:rPr>
        <w:t xml:space="preserve"> Noe </w:t>
      </w:r>
      <w:r w:rsidR="0089055B">
        <w:rPr>
          <w:i/>
        </w:rPr>
        <w:t>v</w:t>
      </w:r>
      <w:r w:rsidR="00F64798" w:rsidRPr="0089055B">
        <w:rPr>
          <w:i/>
        </w:rPr>
        <w:t xml:space="preserve"> L-</w:t>
      </w:r>
      <w:proofErr w:type="spellStart"/>
      <w:r w:rsidR="00F64798" w:rsidRPr="0089055B">
        <w:rPr>
          <w:i/>
        </w:rPr>
        <w:t>Agenzija</w:t>
      </w:r>
      <w:proofErr w:type="spellEnd"/>
      <w:r w:rsidR="00F64798" w:rsidRPr="0089055B">
        <w:rPr>
          <w:i/>
        </w:rPr>
        <w:t xml:space="preserve"> Identity Malta Et</w:t>
      </w:r>
      <w:r w:rsidR="00F64798" w:rsidRPr="00826CB3">
        <w:t>) and case No. 834/2016 (</w:t>
      </w:r>
      <w:proofErr w:type="spellStart"/>
      <w:r w:rsidR="00F64798" w:rsidRPr="0089055B">
        <w:rPr>
          <w:i/>
        </w:rPr>
        <w:t>Schembri</w:t>
      </w:r>
      <w:proofErr w:type="spellEnd"/>
      <w:r w:rsidR="00F64798" w:rsidRPr="0089055B">
        <w:rPr>
          <w:i/>
        </w:rPr>
        <w:t xml:space="preserve"> Alexander L-</w:t>
      </w:r>
      <w:proofErr w:type="spellStart"/>
      <w:r w:rsidR="00F64798" w:rsidRPr="0089055B">
        <w:rPr>
          <w:i/>
        </w:rPr>
        <w:t>Avukat</w:t>
      </w:r>
      <w:proofErr w:type="spellEnd"/>
      <w:r w:rsidR="00F64798" w:rsidRPr="0089055B">
        <w:rPr>
          <w:i/>
        </w:rPr>
        <w:t xml:space="preserve"> </w:t>
      </w:r>
      <w:proofErr w:type="spellStart"/>
      <w:r w:rsidR="00F64798" w:rsidRPr="0089055B">
        <w:rPr>
          <w:i/>
        </w:rPr>
        <w:t>Dottor</w:t>
      </w:r>
      <w:proofErr w:type="spellEnd"/>
      <w:r w:rsidR="00F64798" w:rsidRPr="0089055B">
        <w:rPr>
          <w:i/>
        </w:rPr>
        <w:t xml:space="preserve"> Noe </w:t>
      </w:r>
      <w:r w:rsidR="0089055B">
        <w:rPr>
          <w:i/>
        </w:rPr>
        <w:t>v</w:t>
      </w:r>
      <w:r w:rsidR="00F64798" w:rsidRPr="0089055B">
        <w:rPr>
          <w:i/>
        </w:rPr>
        <w:t xml:space="preserve"> L-</w:t>
      </w:r>
      <w:proofErr w:type="spellStart"/>
      <w:r w:rsidR="00F64798" w:rsidRPr="0089055B">
        <w:rPr>
          <w:i/>
        </w:rPr>
        <w:t>Agenzija</w:t>
      </w:r>
      <w:proofErr w:type="spellEnd"/>
      <w:r w:rsidR="00F64798" w:rsidRPr="0089055B">
        <w:rPr>
          <w:i/>
        </w:rPr>
        <w:t xml:space="preserve"> Identity Malta Et</w:t>
      </w:r>
      <w:r w:rsidR="00F64798" w:rsidRPr="00826CB3">
        <w:t>).</w:t>
      </w:r>
      <w:r w:rsidR="00F64798" w:rsidRPr="00826CB3">
        <w:rPr>
          <w:rStyle w:val="FootnoteReference"/>
        </w:rPr>
        <w:footnoteReference w:id="52"/>
      </w:r>
      <w:r w:rsidR="00F64798" w:rsidRPr="00826CB3">
        <w:t xml:space="preserve"> </w:t>
      </w:r>
      <w:r w:rsidR="00D70AA0" w:rsidRPr="00826CB3">
        <w:t xml:space="preserve">The first case concerned a failed </w:t>
      </w:r>
      <w:r w:rsidR="0089055B">
        <w:t xml:space="preserve">IIP </w:t>
      </w:r>
      <w:r w:rsidR="00D70AA0" w:rsidRPr="00826CB3">
        <w:t xml:space="preserve">application by a Russian millionaire </w:t>
      </w:r>
      <w:proofErr w:type="spellStart"/>
      <w:r w:rsidR="00D70AA0" w:rsidRPr="00826CB3">
        <w:t>Yury</w:t>
      </w:r>
      <w:proofErr w:type="spellEnd"/>
      <w:r w:rsidR="00D70AA0" w:rsidRPr="00826CB3">
        <w:t xml:space="preserve"> </w:t>
      </w:r>
      <w:proofErr w:type="spellStart"/>
      <w:r w:rsidR="00D70AA0" w:rsidRPr="00826CB3">
        <w:t>Sergeevich</w:t>
      </w:r>
      <w:proofErr w:type="spellEnd"/>
      <w:r w:rsidR="00D70AA0" w:rsidRPr="00826CB3">
        <w:t xml:space="preserve"> Danilov, who </w:t>
      </w:r>
      <w:r w:rsidR="00440A7F" w:rsidRPr="00826CB3">
        <w:t>challenge</w:t>
      </w:r>
      <w:r w:rsidR="00440A7F">
        <w:t>d</w:t>
      </w:r>
      <w:r w:rsidR="00440A7F" w:rsidRPr="00826CB3">
        <w:t xml:space="preserve"> </w:t>
      </w:r>
      <w:r w:rsidR="00D70AA0" w:rsidRPr="00826CB3">
        <w:t>the decision of Identity Malta on grounds of the agency’s failure to provide him with an explanation for rejecting his application.</w:t>
      </w:r>
      <w:r w:rsidR="00D70AA0" w:rsidRPr="00826CB3">
        <w:rPr>
          <w:rStyle w:val="FootnoteReference"/>
        </w:rPr>
        <w:footnoteReference w:id="53"/>
      </w:r>
      <w:r w:rsidR="0070376C" w:rsidRPr="00826CB3">
        <w:t xml:space="preserve"> The</w:t>
      </w:r>
      <w:r w:rsidR="00B34D6D" w:rsidRPr="00826CB3">
        <w:t xml:space="preserve"> details of the</w:t>
      </w:r>
      <w:r w:rsidR="0070376C" w:rsidRPr="00826CB3">
        <w:t xml:space="preserve"> second case</w:t>
      </w:r>
      <w:r w:rsidR="00B34D6D" w:rsidRPr="00826CB3">
        <w:t xml:space="preserve"> have not </w:t>
      </w:r>
      <w:r w:rsidR="0089055B">
        <w:t xml:space="preserve">yet </w:t>
      </w:r>
      <w:r w:rsidR="00B34D6D" w:rsidRPr="00826CB3">
        <w:t>been released.</w:t>
      </w:r>
    </w:p>
    <w:p w14:paraId="1A030E90" w14:textId="77777777" w:rsidR="00417ED8" w:rsidRPr="0044090D" w:rsidRDefault="00417ED8" w:rsidP="00243DF3">
      <w:pPr>
        <w:pStyle w:val="MBT"/>
        <w:rPr>
          <w:lang w:val="en-GB"/>
        </w:rPr>
      </w:pPr>
    </w:p>
    <w:p w14:paraId="0252583F" w14:textId="77777777" w:rsidR="005F3316" w:rsidRPr="007D22A1" w:rsidRDefault="00AC2EEB" w:rsidP="00243DF3">
      <w:pPr>
        <w:pStyle w:val="MH2"/>
        <w:outlineLvl w:val="9"/>
      </w:pPr>
      <w:r w:rsidRPr="007D22A1">
        <w:t>Competent authorities</w:t>
      </w:r>
      <w:r w:rsidR="00882C9A" w:rsidRPr="007D22A1">
        <w:t xml:space="preserve"> And Non-Public Bodies</w:t>
      </w:r>
    </w:p>
    <w:p w14:paraId="2C1029A0" w14:textId="77777777" w:rsidR="003473F4" w:rsidRPr="0044090D" w:rsidRDefault="005F3316" w:rsidP="003473F4">
      <w:pPr>
        <w:pStyle w:val="MBT"/>
        <w:rPr>
          <w:lang w:val="en-GB"/>
        </w:rPr>
      </w:pPr>
      <w:r w:rsidRPr="006C1FB3">
        <w:rPr>
          <w:b/>
          <w:lang w:val="en-GB"/>
        </w:rPr>
        <w:t>Identity Malta</w:t>
      </w:r>
      <w:r w:rsidRPr="0044090D">
        <w:rPr>
          <w:lang w:val="en-GB"/>
        </w:rPr>
        <w:t xml:space="preserve"> is a government agency set up by the Ident</w:t>
      </w:r>
      <w:r w:rsidR="008A4EB1" w:rsidRPr="0044090D">
        <w:rPr>
          <w:lang w:val="en-GB"/>
        </w:rPr>
        <w:t>ity Malta (Establishment) Order</w:t>
      </w:r>
      <w:r w:rsidR="003473F4" w:rsidRPr="0044090D">
        <w:rPr>
          <w:lang w:val="en-GB"/>
        </w:rPr>
        <w:t>. I</w:t>
      </w:r>
      <w:r w:rsidR="008A4EB1" w:rsidRPr="0044090D">
        <w:rPr>
          <w:lang w:val="en-GB"/>
        </w:rPr>
        <w:t>t is the main public body involved in the application procedure</w:t>
      </w:r>
      <w:r w:rsidR="003473F4" w:rsidRPr="0044090D">
        <w:rPr>
          <w:lang w:val="en-GB"/>
        </w:rPr>
        <w:t xml:space="preserve"> and is also tasked with issuing procedural guidelines ‘to specify the operational aspects and interpretations’ under LN 47/2014</w:t>
      </w:r>
      <w:r w:rsidR="00850ED5">
        <w:rPr>
          <w:lang w:val="en-GB"/>
        </w:rPr>
        <w:t>.</w:t>
      </w:r>
      <w:r w:rsidR="003473F4" w:rsidRPr="0044090D">
        <w:rPr>
          <w:rStyle w:val="FootnoteReference"/>
          <w:lang w:val="en-GB"/>
        </w:rPr>
        <w:footnoteReference w:id="54"/>
      </w:r>
    </w:p>
    <w:p w14:paraId="0319B693" w14:textId="77777777" w:rsidR="003473F4" w:rsidRPr="0044090D" w:rsidRDefault="003473F4" w:rsidP="008A4EB1">
      <w:pPr>
        <w:pStyle w:val="MBT"/>
        <w:rPr>
          <w:lang w:val="en-GB"/>
        </w:rPr>
      </w:pPr>
    </w:p>
    <w:p w14:paraId="0C7DC88C" w14:textId="77777777" w:rsidR="008A4EB1" w:rsidRPr="0044090D" w:rsidRDefault="003473F4" w:rsidP="008A4EB1">
      <w:pPr>
        <w:pStyle w:val="MBT"/>
        <w:rPr>
          <w:lang w:val="en-GB"/>
        </w:rPr>
      </w:pPr>
      <w:r w:rsidRPr="0044090D">
        <w:rPr>
          <w:lang w:val="en-GB"/>
        </w:rPr>
        <w:t>IIP a</w:t>
      </w:r>
      <w:r w:rsidR="008A4EB1" w:rsidRPr="0044090D">
        <w:rPr>
          <w:lang w:val="en-GB"/>
        </w:rPr>
        <w:t>pplications must be submitted by the main applicant to Identity Malta either through Approved Agents or the concessionaire</w:t>
      </w:r>
      <w:r w:rsidR="00850ED5">
        <w:rPr>
          <w:lang w:val="en-GB"/>
        </w:rPr>
        <w:t>.</w:t>
      </w:r>
      <w:r w:rsidR="008A4EB1" w:rsidRPr="0044090D">
        <w:rPr>
          <w:rStyle w:val="FootnoteReference"/>
          <w:lang w:val="en-GB"/>
        </w:rPr>
        <w:footnoteReference w:id="55"/>
      </w:r>
      <w:r w:rsidRPr="0044090D">
        <w:rPr>
          <w:lang w:val="en-GB"/>
        </w:rPr>
        <w:t xml:space="preserve"> These are non-public b</w:t>
      </w:r>
      <w:r w:rsidR="008A4EB1" w:rsidRPr="0044090D">
        <w:rPr>
          <w:lang w:val="en-GB"/>
        </w:rPr>
        <w:t>odies that have a significant</w:t>
      </w:r>
      <w:r w:rsidR="006B0DA7" w:rsidRPr="0044090D">
        <w:rPr>
          <w:lang w:val="en-GB"/>
        </w:rPr>
        <w:t xml:space="preserve"> role</w:t>
      </w:r>
      <w:r w:rsidR="008A4EB1" w:rsidRPr="0044090D">
        <w:rPr>
          <w:lang w:val="en-GB"/>
        </w:rPr>
        <w:t xml:space="preserve"> </w:t>
      </w:r>
      <w:r w:rsidRPr="0044090D">
        <w:rPr>
          <w:lang w:val="en-GB"/>
        </w:rPr>
        <w:t>throughout the application</w:t>
      </w:r>
      <w:r w:rsidR="008A4EB1" w:rsidRPr="0044090D">
        <w:rPr>
          <w:lang w:val="en-GB"/>
        </w:rPr>
        <w:t xml:space="preserve"> process.</w:t>
      </w:r>
      <w:r w:rsidR="00354F7C">
        <w:rPr>
          <w:lang w:val="en-GB"/>
        </w:rPr>
        <w:t xml:space="preserve"> </w:t>
      </w:r>
    </w:p>
    <w:p w14:paraId="50835D9B" w14:textId="77777777" w:rsidR="00E16069" w:rsidRPr="0044090D" w:rsidRDefault="00E16069" w:rsidP="00243DF3">
      <w:pPr>
        <w:pStyle w:val="MBT"/>
        <w:rPr>
          <w:lang w:val="en-GB"/>
        </w:rPr>
      </w:pPr>
    </w:p>
    <w:p w14:paraId="5AAADD5D" w14:textId="77777777" w:rsidR="002B2B65" w:rsidRPr="0044090D" w:rsidRDefault="00DC1492" w:rsidP="002B2B65">
      <w:pPr>
        <w:pStyle w:val="MBT"/>
        <w:rPr>
          <w:lang w:val="en-GB"/>
        </w:rPr>
      </w:pPr>
      <w:r w:rsidRPr="0044090D">
        <w:rPr>
          <w:lang w:val="en-GB"/>
        </w:rPr>
        <w:t xml:space="preserve">Regulation 2 </w:t>
      </w:r>
      <w:r w:rsidR="00E16069" w:rsidRPr="0044090D">
        <w:rPr>
          <w:lang w:val="en-GB"/>
        </w:rPr>
        <w:t xml:space="preserve">of LN 47/2014 </w:t>
      </w:r>
      <w:r w:rsidRPr="0044090D">
        <w:rPr>
          <w:lang w:val="en-GB"/>
        </w:rPr>
        <w:t>defines ‘</w:t>
      </w:r>
      <w:r w:rsidRPr="006C1FB3">
        <w:rPr>
          <w:b/>
          <w:lang w:val="en-GB"/>
        </w:rPr>
        <w:t>Approved Agent</w:t>
      </w:r>
      <w:r w:rsidRPr="0044090D">
        <w:rPr>
          <w:lang w:val="en-GB"/>
        </w:rPr>
        <w:t xml:space="preserve">’ as ‘an audit firm, a law firm, a financial advisory firm, an intermediary firm or any other person or body which in all cases has been authorised to act as an authorised intermediary firm by Identity Malta for the purposes of these regulations’. </w:t>
      </w:r>
    </w:p>
    <w:p w14:paraId="67FB1013" w14:textId="77777777" w:rsidR="002B2B65" w:rsidRPr="0044090D" w:rsidRDefault="002B2B65" w:rsidP="002B2B65">
      <w:pPr>
        <w:pStyle w:val="MBT"/>
        <w:rPr>
          <w:lang w:val="en-GB"/>
        </w:rPr>
      </w:pPr>
    </w:p>
    <w:p w14:paraId="25A49A32" w14:textId="6296EBF1" w:rsidR="002B2B65" w:rsidRPr="0044090D" w:rsidRDefault="002B2B65" w:rsidP="002B2B65">
      <w:pPr>
        <w:pStyle w:val="MBT"/>
        <w:rPr>
          <w:lang w:val="en-GB"/>
        </w:rPr>
      </w:pPr>
      <w:r w:rsidRPr="0044090D">
        <w:rPr>
          <w:lang w:val="en-GB"/>
        </w:rPr>
        <w:t>Approved Agents are licensed by Identity Malta after a due diligence process and are entitled to introduce prospective applicants to Identity Malta</w:t>
      </w:r>
      <w:r w:rsidR="005F3316" w:rsidRPr="0044090D">
        <w:rPr>
          <w:lang w:val="en-GB"/>
        </w:rPr>
        <w:t>. They are required to pay an annual licence fee and must comply with the conditions of their licence</w:t>
      </w:r>
      <w:r w:rsidR="00850ED5">
        <w:rPr>
          <w:lang w:val="en-GB"/>
        </w:rPr>
        <w:t>.</w:t>
      </w:r>
      <w:r w:rsidR="005F3316" w:rsidRPr="0044090D">
        <w:rPr>
          <w:rStyle w:val="FootnoteReference"/>
          <w:lang w:val="en-GB"/>
        </w:rPr>
        <w:footnoteReference w:id="56"/>
      </w:r>
      <w:r w:rsidR="005F3316" w:rsidRPr="0044090D">
        <w:rPr>
          <w:lang w:val="en-GB"/>
        </w:rPr>
        <w:t xml:space="preserve"> </w:t>
      </w:r>
      <w:r w:rsidRPr="00246791">
        <w:rPr>
          <w:lang w:val="en-GB"/>
        </w:rPr>
        <w:t xml:space="preserve">The list of Approved Agents is available on Identity Malta’s website: </w:t>
      </w:r>
      <w:hyperlink r:id="rId16" w:history="1">
        <w:r w:rsidRPr="00246791">
          <w:rPr>
            <w:rStyle w:val="Hyperlink"/>
            <w:lang w:val="en-GB"/>
          </w:rPr>
          <w:t>http://iip.gov.mt/agents-list/</w:t>
        </w:r>
      </w:hyperlink>
      <w:r w:rsidRPr="00246791">
        <w:rPr>
          <w:lang w:val="en-GB"/>
        </w:rPr>
        <w:t xml:space="preserve">. </w:t>
      </w:r>
      <w:r w:rsidR="00C10E7B" w:rsidRPr="00246791">
        <w:rPr>
          <w:lang w:val="en-GB"/>
        </w:rPr>
        <w:t>A</w:t>
      </w:r>
      <w:r w:rsidR="00246791" w:rsidRPr="00246791">
        <w:rPr>
          <w:lang w:val="en-GB"/>
        </w:rPr>
        <w:t>s of March 2018, there are 168</w:t>
      </w:r>
      <w:r w:rsidR="00C10E7B" w:rsidRPr="00246791">
        <w:rPr>
          <w:lang w:val="en-GB"/>
        </w:rPr>
        <w:t xml:space="preserve"> Approved Agents.</w:t>
      </w:r>
      <w:r w:rsidR="00C10E7B">
        <w:rPr>
          <w:lang w:val="en-GB"/>
        </w:rPr>
        <w:t xml:space="preserve"> </w:t>
      </w:r>
    </w:p>
    <w:p w14:paraId="36BC3C38" w14:textId="77777777" w:rsidR="002B2B65" w:rsidRPr="0044090D" w:rsidRDefault="002B2B65" w:rsidP="002B2B65">
      <w:pPr>
        <w:pStyle w:val="MBT"/>
        <w:rPr>
          <w:lang w:val="en-GB"/>
        </w:rPr>
      </w:pPr>
    </w:p>
    <w:p w14:paraId="6E5EF1D4" w14:textId="77777777" w:rsidR="004A5ED3" w:rsidRDefault="002B2B65" w:rsidP="00243DF3">
      <w:pPr>
        <w:pStyle w:val="MBT"/>
        <w:rPr>
          <w:lang w:val="en-GB"/>
        </w:rPr>
      </w:pPr>
      <w:r w:rsidRPr="0044090D">
        <w:rPr>
          <w:lang w:val="en-GB"/>
        </w:rPr>
        <w:t xml:space="preserve">Identity Malta can withdraw an Approved Agent’s licence if, after investigation, it is satisfied that the Approved Agent acted in an unethical or unprofessional manner or substantially prejudiced the IIP or the Approved Agent </w:t>
      </w:r>
      <w:r w:rsidRPr="00850ED5">
        <w:rPr>
          <w:lang w:val="en-GB"/>
        </w:rPr>
        <w:t>committed a serious breach of guidelines, codes of conduct or codes of ethics issued by Identity Malta and made specifically applicable to Approved Agents</w:t>
      </w:r>
      <w:r w:rsidR="00850ED5" w:rsidRPr="00850ED5">
        <w:rPr>
          <w:lang w:val="en-GB"/>
        </w:rPr>
        <w:t>.</w:t>
      </w:r>
      <w:r w:rsidRPr="00850ED5">
        <w:rPr>
          <w:rStyle w:val="FootnoteReference"/>
          <w:lang w:val="en-GB"/>
        </w:rPr>
        <w:footnoteReference w:id="57"/>
      </w:r>
      <w:r w:rsidR="004A5ED3" w:rsidRPr="00850ED5">
        <w:rPr>
          <w:lang w:val="en-GB"/>
        </w:rPr>
        <w:t xml:space="preserve"> </w:t>
      </w:r>
      <w:r w:rsidR="00664DD4" w:rsidRPr="00850ED5">
        <w:rPr>
          <w:lang w:val="en-GB"/>
        </w:rPr>
        <w:t>The Accredited Person – Code of Conduct pub</w:t>
      </w:r>
      <w:r w:rsidR="00EC6EE5" w:rsidRPr="00850ED5">
        <w:rPr>
          <w:lang w:val="en-GB"/>
        </w:rPr>
        <w:t>lished by Identity Malta lists failure to report sub agents/sources as well as withdrawal from membership of professional associations</w:t>
      </w:r>
      <w:r w:rsidR="00EC6EE5">
        <w:rPr>
          <w:lang w:val="en-GB"/>
        </w:rPr>
        <w:t xml:space="preserve"> as grounds for revocation of the licence.</w:t>
      </w:r>
      <w:r w:rsidR="00EC6EE5">
        <w:rPr>
          <w:rStyle w:val="FootnoteReference"/>
          <w:lang w:val="en-GB"/>
        </w:rPr>
        <w:footnoteReference w:id="58"/>
      </w:r>
      <w:r w:rsidR="00EC6EE5">
        <w:rPr>
          <w:lang w:val="en-GB"/>
        </w:rPr>
        <w:t xml:space="preserve"> The Code of Conduct also sets the standards and labels that Approved Agents are bound by, particularly </w:t>
      </w:r>
      <w:r w:rsidR="00EC6EE5">
        <w:rPr>
          <w:lang w:val="en-GB"/>
        </w:rPr>
        <w:lastRenderedPageBreak/>
        <w:t>in terms of how the programme is referred to for marketing purposes, and stipulates the exact labelling of the different elements of the pecuniary contribution.</w:t>
      </w:r>
      <w:r w:rsidR="00EC6EE5">
        <w:rPr>
          <w:rStyle w:val="FootnoteReference"/>
          <w:lang w:val="en-GB"/>
        </w:rPr>
        <w:footnoteReference w:id="59"/>
      </w:r>
    </w:p>
    <w:p w14:paraId="4B7048C7" w14:textId="77777777" w:rsidR="00E16069" w:rsidRPr="0044090D" w:rsidRDefault="00E16069" w:rsidP="00243DF3">
      <w:pPr>
        <w:pStyle w:val="MBT"/>
        <w:rPr>
          <w:lang w:val="en-GB"/>
        </w:rPr>
      </w:pPr>
    </w:p>
    <w:p w14:paraId="2DA4D063" w14:textId="0CF6B516" w:rsidR="00E155D6" w:rsidRDefault="008E7960" w:rsidP="00243DF3">
      <w:pPr>
        <w:pStyle w:val="MBT"/>
        <w:rPr>
          <w:lang w:val="en-GB"/>
        </w:rPr>
      </w:pPr>
      <w:r>
        <w:rPr>
          <w:lang w:val="en-GB"/>
        </w:rPr>
        <w:t>According to Regulation 3(2) of LN 47/2014, t</w:t>
      </w:r>
      <w:r w:rsidR="00DC1492" w:rsidRPr="0044090D">
        <w:rPr>
          <w:lang w:val="en-GB"/>
        </w:rPr>
        <w:t>he ‘</w:t>
      </w:r>
      <w:r w:rsidR="00DC1492" w:rsidRPr="006C1FB3">
        <w:rPr>
          <w:b/>
          <w:lang w:val="en-GB"/>
        </w:rPr>
        <w:t>concessionaire</w:t>
      </w:r>
      <w:r w:rsidR="00DC1492" w:rsidRPr="0044090D">
        <w:rPr>
          <w:lang w:val="en-GB"/>
        </w:rPr>
        <w:t xml:space="preserve">’ </w:t>
      </w:r>
      <w:r w:rsidR="002B2B65" w:rsidRPr="0044090D">
        <w:rPr>
          <w:lang w:val="en-GB"/>
        </w:rPr>
        <w:t xml:space="preserve">operates the IIP and is defined in </w:t>
      </w:r>
      <w:r w:rsidR="002B2B65" w:rsidRPr="00246791">
        <w:rPr>
          <w:lang w:val="en-GB"/>
        </w:rPr>
        <w:t xml:space="preserve">Regulation 2 </w:t>
      </w:r>
      <w:r w:rsidR="002B2B65" w:rsidRPr="00607DF1">
        <w:rPr>
          <w:lang w:val="en-GB"/>
        </w:rPr>
        <w:t>as</w:t>
      </w:r>
      <w:r w:rsidR="00DC1492" w:rsidRPr="00607DF1">
        <w:rPr>
          <w:lang w:val="en-GB"/>
        </w:rPr>
        <w:t xml:space="preserve"> ‘the entity awarded with the public service concession contract to design, implement, administer, operate and promote the programme, or any subsidiary of that entity</w:t>
      </w:r>
      <w:r w:rsidR="006B6827" w:rsidRPr="00246791">
        <w:rPr>
          <w:lang w:val="en-GB"/>
        </w:rPr>
        <w:t>, duly authorized by the public service concession contract’.</w:t>
      </w:r>
      <w:r w:rsidR="00E16069" w:rsidRPr="00246791">
        <w:rPr>
          <w:lang w:val="en-GB"/>
        </w:rPr>
        <w:t xml:space="preserve"> </w:t>
      </w:r>
      <w:r w:rsidR="00E155D6" w:rsidRPr="00246791">
        <w:rPr>
          <w:lang w:val="en-GB"/>
        </w:rPr>
        <w:t>In accordance with Regulation 7(1)</w:t>
      </w:r>
      <w:r w:rsidR="002B2B65" w:rsidRPr="00246791">
        <w:rPr>
          <w:lang w:val="en-GB"/>
        </w:rPr>
        <w:t xml:space="preserve"> of LN 47/2014</w:t>
      </w:r>
      <w:r w:rsidR="00E155D6" w:rsidRPr="00246791">
        <w:rPr>
          <w:lang w:val="en-GB"/>
        </w:rPr>
        <w:t>, every application must be presented to, and examined by, Identity Malta, either directly or through the concessionaire</w:t>
      </w:r>
      <w:r w:rsidR="00E155D6" w:rsidRPr="0044090D">
        <w:rPr>
          <w:lang w:val="en-GB"/>
        </w:rPr>
        <w:t>.</w:t>
      </w:r>
      <w:r w:rsidR="005F3316" w:rsidRPr="0044090D">
        <w:rPr>
          <w:lang w:val="en-GB"/>
        </w:rPr>
        <w:t xml:space="preserve"> The concessionaire is Henley &amp; Partners</w:t>
      </w:r>
      <w:r w:rsidR="00850ED5">
        <w:rPr>
          <w:lang w:val="en-GB"/>
        </w:rPr>
        <w:t>.</w:t>
      </w:r>
      <w:r w:rsidR="00D22751">
        <w:rPr>
          <w:rStyle w:val="FootnoteReference"/>
          <w:lang w:val="en-GB"/>
        </w:rPr>
        <w:footnoteReference w:id="60"/>
      </w:r>
      <w:r w:rsidR="005F3316" w:rsidRPr="0044090D">
        <w:rPr>
          <w:lang w:val="en-GB"/>
        </w:rPr>
        <w:t xml:space="preserve">  </w:t>
      </w:r>
    </w:p>
    <w:p w14:paraId="26DB347E" w14:textId="77777777" w:rsidR="00BD7846" w:rsidRDefault="00BD7846" w:rsidP="00243DF3">
      <w:pPr>
        <w:pStyle w:val="MBT"/>
        <w:rPr>
          <w:lang w:val="en-GB"/>
        </w:rPr>
      </w:pPr>
    </w:p>
    <w:p w14:paraId="0DF07308" w14:textId="40152308" w:rsidR="003A79A0" w:rsidRDefault="00BD7846" w:rsidP="002D546E">
      <w:pPr>
        <w:pStyle w:val="MBT"/>
        <w:rPr>
          <w:lang w:val="en-GB"/>
        </w:rPr>
      </w:pPr>
      <w:r w:rsidRPr="00850ED5">
        <w:rPr>
          <w:lang w:val="en-GB"/>
        </w:rPr>
        <w:t xml:space="preserve">The </w:t>
      </w:r>
      <w:r w:rsidR="00F2379D" w:rsidRPr="00850ED5">
        <w:rPr>
          <w:lang w:val="en-GB"/>
        </w:rPr>
        <w:t>Fourth Annual R</w:t>
      </w:r>
      <w:r w:rsidRPr="00850ED5">
        <w:rPr>
          <w:lang w:val="en-GB"/>
        </w:rPr>
        <w:t xml:space="preserve">eport of the </w:t>
      </w:r>
      <w:proofErr w:type="spellStart"/>
      <w:r w:rsidRPr="00850ED5">
        <w:rPr>
          <w:lang w:val="en-GB"/>
        </w:rPr>
        <w:t>ORiip</w:t>
      </w:r>
      <w:proofErr w:type="spellEnd"/>
      <w:r w:rsidRPr="00850ED5">
        <w:rPr>
          <w:lang w:val="en-GB"/>
        </w:rPr>
        <w:t xml:space="preserve"> notes that the role of the concessionaire has consensually diminished since the start of the scheme, pursuant to an</w:t>
      </w:r>
      <w:r>
        <w:rPr>
          <w:lang w:val="en-GB"/>
        </w:rPr>
        <w:t xml:space="preserve"> agreement between the </w:t>
      </w:r>
      <w:r>
        <w:t xml:space="preserve">Government, Identity Malta and </w:t>
      </w:r>
      <w:r w:rsidRPr="0044090D">
        <w:rPr>
          <w:lang w:val="en-GB"/>
        </w:rPr>
        <w:t>Henley &amp; Partners</w:t>
      </w:r>
      <w:r>
        <w:rPr>
          <w:lang w:val="en-GB"/>
        </w:rPr>
        <w:t>.</w:t>
      </w:r>
      <w:r>
        <w:rPr>
          <w:rStyle w:val="FootnoteReference"/>
        </w:rPr>
        <w:footnoteReference w:id="61"/>
      </w:r>
      <w:r w:rsidR="00A23190">
        <w:rPr>
          <w:lang w:val="en-GB"/>
        </w:rPr>
        <w:t xml:space="preserve"> Originally, the concessionaire held a ‘</w:t>
      </w:r>
      <w:r w:rsidR="00A23190" w:rsidRPr="00A23190">
        <w:rPr>
          <w:lang w:val="en-GB"/>
        </w:rPr>
        <w:t>public service</w:t>
      </w:r>
      <w:r w:rsidR="00A23190">
        <w:rPr>
          <w:lang w:val="en-GB"/>
        </w:rPr>
        <w:t xml:space="preserve"> </w:t>
      </w:r>
      <w:r w:rsidR="00A23190" w:rsidRPr="00A23190">
        <w:rPr>
          <w:lang w:val="en-GB"/>
        </w:rPr>
        <w:t>concession to design, implement, administer, operate and promote the Programme</w:t>
      </w:r>
      <w:r w:rsidR="00A23190">
        <w:rPr>
          <w:lang w:val="en-GB"/>
        </w:rPr>
        <w:t>’, including the exclusive rights to present and receive information on the outcome of every application.</w:t>
      </w:r>
      <w:r w:rsidR="00A23190" w:rsidRPr="0044090D">
        <w:rPr>
          <w:rStyle w:val="FootnoteReference"/>
          <w:lang w:val="en-GB"/>
        </w:rPr>
        <w:footnoteReference w:id="62"/>
      </w:r>
      <w:r w:rsidR="00A23190">
        <w:rPr>
          <w:lang w:val="en-GB"/>
        </w:rPr>
        <w:t xml:space="preserve"> However, in addition to the concessionaire, Approved Agents also have the right to operate and promote the programme, as well as to submit and receive information on the outcome of applications. </w:t>
      </w:r>
      <w:r w:rsidR="003A79A0">
        <w:t>At present, t</w:t>
      </w:r>
      <w:r w:rsidR="003A79A0" w:rsidRPr="00DA4F51">
        <w:t xml:space="preserve">he role of </w:t>
      </w:r>
      <w:r w:rsidR="003A79A0">
        <w:t xml:space="preserve">Henley &amp; Partners </w:t>
      </w:r>
      <w:r w:rsidR="003A79A0" w:rsidRPr="00DA4F51">
        <w:t xml:space="preserve">is mostly tied to the promotion of the </w:t>
      </w:r>
      <w:proofErr w:type="spellStart"/>
      <w:r w:rsidR="003A79A0" w:rsidRPr="00DA4F51">
        <w:t>programme</w:t>
      </w:r>
      <w:proofErr w:type="spellEnd"/>
      <w:r w:rsidR="003A79A0" w:rsidRPr="00DA4F51">
        <w:t xml:space="preserve"> in key global events, and </w:t>
      </w:r>
      <w:proofErr w:type="spellStart"/>
      <w:r w:rsidR="003A79A0" w:rsidRPr="00DA4F51">
        <w:t>organising</w:t>
      </w:r>
      <w:proofErr w:type="spellEnd"/>
      <w:r w:rsidR="003A79A0" w:rsidRPr="00DA4F51">
        <w:t xml:space="preserve"> conferences or events specifically on Malta.  These are not tied only to the </w:t>
      </w:r>
      <w:r w:rsidR="003A79A0">
        <w:t>IIP</w:t>
      </w:r>
      <w:r w:rsidR="003A79A0" w:rsidRPr="00DA4F51">
        <w:t xml:space="preserve"> but promote Malta as a business destination.  </w:t>
      </w:r>
      <w:r w:rsidR="003A79A0">
        <w:t>Henley &amp; Partners also</w:t>
      </w:r>
      <w:r w:rsidR="003A79A0" w:rsidRPr="00DA4F51">
        <w:t xml:space="preserve"> advise</w:t>
      </w:r>
      <w:r w:rsidR="003A79A0">
        <w:t>s Identity Malta</w:t>
      </w:r>
      <w:r w:rsidR="003A79A0" w:rsidRPr="00DA4F51">
        <w:t xml:space="preserve"> on a need</w:t>
      </w:r>
      <w:r w:rsidR="003A79A0">
        <w:t>s</w:t>
      </w:r>
      <w:r w:rsidR="003A79A0" w:rsidRPr="00DA4F51">
        <w:t xml:space="preserve"> basi</w:t>
      </w:r>
      <w:r w:rsidR="003A79A0">
        <w:t xml:space="preserve">s on legal or technical aspects but is not </w:t>
      </w:r>
      <w:r w:rsidR="003A79A0" w:rsidRPr="00DA4F51">
        <w:t xml:space="preserve">involved in assessing or </w:t>
      </w:r>
      <w:r w:rsidR="003A79A0">
        <w:t>recommending</w:t>
      </w:r>
      <w:r w:rsidR="003A79A0" w:rsidRPr="00DA4F51">
        <w:t xml:space="preserve"> applications</w:t>
      </w:r>
      <w:r w:rsidR="002A2BEC">
        <w:t>. Therefore</w:t>
      </w:r>
      <w:r w:rsidR="003A79A0" w:rsidRPr="00DA4F51">
        <w:t xml:space="preserve">, </w:t>
      </w:r>
      <w:r w:rsidR="002A2BEC">
        <w:t>Henley &amp; Partners</w:t>
      </w:r>
      <w:r w:rsidR="003A79A0" w:rsidRPr="00DA4F51">
        <w:t xml:space="preserve"> act</w:t>
      </w:r>
      <w:r w:rsidR="002A2BEC">
        <w:t>s</w:t>
      </w:r>
      <w:r w:rsidR="003A79A0" w:rsidRPr="00DA4F51">
        <w:t xml:space="preserve"> solely as any other agent</w:t>
      </w:r>
      <w:r w:rsidR="002A2BEC">
        <w:t xml:space="preserve"> meaning that its </w:t>
      </w:r>
      <w:r w:rsidR="0030367B">
        <w:t xml:space="preserve">current </w:t>
      </w:r>
      <w:r w:rsidR="002A2BEC">
        <w:t>role is limited</w:t>
      </w:r>
      <w:r w:rsidR="003A79A0" w:rsidRPr="00DA4F51">
        <w:t xml:space="preserve"> </w:t>
      </w:r>
      <w:r w:rsidR="002A2BEC">
        <w:t xml:space="preserve">to presenting </w:t>
      </w:r>
      <w:r w:rsidR="003A79A0" w:rsidRPr="00DA4F51">
        <w:t xml:space="preserve">applications on behalf of </w:t>
      </w:r>
      <w:r w:rsidR="002A2BEC">
        <w:t xml:space="preserve">its </w:t>
      </w:r>
      <w:r w:rsidR="003A79A0" w:rsidRPr="00DA4F51">
        <w:t xml:space="preserve">clients to </w:t>
      </w:r>
      <w:r w:rsidR="003A79A0">
        <w:t xml:space="preserve">Identity Malta’s </w:t>
      </w:r>
      <w:r w:rsidR="003A79A0" w:rsidRPr="00DA4F51">
        <w:t>IIP unit.</w:t>
      </w:r>
      <w:r w:rsidR="003A79A0">
        <w:rPr>
          <w:rStyle w:val="FootnoteReference"/>
        </w:rPr>
        <w:footnoteReference w:id="63"/>
      </w:r>
      <w:r w:rsidR="003A79A0" w:rsidRPr="003A79A0">
        <w:rPr>
          <w:lang w:val="en-GB"/>
        </w:rPr>
        <w:t xml:space="preserve"> </w:t>
      </w:r>
      <w:r w:rsidR="003A79A0">
        <w:rPr>
          <w:lang w:val="en-GB"/>
        </w:rPr>
        <w:t xml:space="preserve">The legislation has not been amended to reflect this agreement.  </w:t>
      </w:r>
    </w:p>
    <w:p w14:paraId="31B528F1" w14:textId="77777777" w:rsidR="003A79A0" w:rsidRDefault="003A79A0" w:rsidP="002D546E">
      <w:pPr>
        <w:pStyle w:val="MBT"/>
        <w:rPr>
          <w:lang w:val="en-GB"/>
        </w:rPr>
      </w:pPr>
    </w:p>
    <w:p w14:paraId="5D5FA408" w14:textId="77777777" w:rsidR="002B1BB7" w:rsidRDefault="0007538D" w:rsidP="002D546E">
      <w:pPr>
        <w:pStyle w:val="MBT"/>
      </w:pPr>
      <w:r>
        <w:rPr>
          <w:lang w:val="en-GB"/>
        </w:rPr>
        <w:t>According to the concession contract (amended), Henley</w:t>
      </w:r>
      <w:r w:rsidR="00F2379D">
        <w:rPr>
          <w:lang w:val="en-GB"/>
        </w:rPr>
        <w:t xml:space="preserve"> </w:t>
      </w:r>
      <w:r>
        <w:rPr>
          <w:lang w:val="en-GB"/>
        </w:rPr>
        <w:t>&amp;</w:t>
      </w:r>
      <w:r w:rsidR="00F2379D">
        <w:rPr>
          <w:lang w:val="en-GB"/>
        </w:rPr>
        <w:t xml:space="preserve"> </w:t>
      </w:r>
      <w:r>
        <w:rPr>
          <w:lang w:val="en-GB"/>
        </w:rPr>
        <w:t>Partners receives 4% of the ‘paid-in contribution’. The published version of the concession contract and its amendment, exclude the definition</w:t>
      </w:r>
      <w:r w:rsidR="00195F0B">
        <w:rPr>
          <w:lang w:val="en-GB"/>
        </w:rPr>
        <w:t xml:space="preserve"> of the ‘paid-in contribution’.</w:t>
      </w:r>
      <w:r w:rsidR="00195F0B">
        <w:rPr>
          <w:rStyle w:val="FootnoteReference"/>
          <w:lang w:val="en-GB"/>
        </w:rPr>
        <w:footnoteReference w:id="64"/>
      </w:r>
      <w:r w:rsidR="00195F0B">
        <w:rPr>
          <w:lang w:val="en-GB"/>
        </w:rPr>
        <w:t xml:space="preserve"> This definition has been devised to compensate for any losses the concessionaire may have incurred through the contrac</w:t>
      </w:r>
      <w:r w:rsidR="00F2379D">
        <w:rPr>
          <w:lang w:val="en-GB"/>
        </w:rPr>
        <w:t xml:space="preserve">t amendment. The </w:t>
      </w:r>
      <w:proofErr w:type="spellStart"/>
      <w:r w:rsidR="00F2379D">
        <w:rPr>
          <w:lang w:val="en-GB"/>
        </w:rPr>
        <w:t>ORiip’s</w:t>
      </w:r>
      <w:proofErr w:type="spellEnd"/>
      <w:r w:rsidR="00F2379D">
        <w:rPr>
          <w:lang w:val="en-GB"/>
        </w:rPr>
        <w:t xml:space="preserve"> Fourth Annual R</w:t>
      </w:r>
      <w:r w:rsidR="00195F0B">
        <w:rPr>
          <w:lang w:val="en-GB"/>
        </w:rPr>
        <w:t xml:space="preserve">eport notes </w:t>
      </w:r>
      <w:r w:rsidR="00195F0B" w:rsidRPr="00570AE2">
        <w:rPr>
          <w:lang w:val="en-GB"/>
        </w:rPr>
        <w:t>that Henley &amp; Partners receives 4% of the contributions, and 4% of the ‘investment made under the Investment Requirement (at the minimum value prescribed by the Regulations, even if the actual investment in a particular case is higher’.</w:t>
      </w:r>
      <w:r w:rsidR="00195F0B" w:rsidRPr="00570AE2">
        <w:rPr>
          <w:rStyle w:val="FootnoteReference"/>
          <w:lang w:val="en-GB"/>
        </w:rPr>
        <w:footnoteReference w:id="65"/>
      </w:r>
      <w:r w:rsidR="006C1FB3" w:rsidRPr="00570AE2">
        <w:rPr>
          <w:lang w:val="en-GB"/>
        </w:rPr>
        <w:t xml:space="preserve"> The d</w:t>
      </w:r>
      <w:r w:rsidR="00195F0B" w:rsidRPr="00570AE2">
        <w:rPr>
          <w:lang w:val="en-GB"/>
        </w:rPr>
        <w:t>ue diligence process, which was originally supposed to be handled by the concessionaire, who</w:t>
      </w:r>
      <w:r w:rsidR="00195F0B">
        <w:rPr>
          <w:lang w:val="en-GB"/>
        </w:rPr>
        <w:t xml:space="preserve"> was also to receive the respective fees, </w:t>
      </w:r>
      <w:r w:rsidR="002B1BB7">
        <w:rPr>
          <w:lang w:val="en-GB"/>
        </w:rPr>
        <w:t>is</w:t>
      </w:r>
      <w:r w:rsidR="00195F0B">
        <w:rPr>
          <w:lang w:val="en-GB"/>
        </w:rPr>
        <w:t xml:space="preserve"> now handled by the Government of Malta.</w:t>
      </w:r>
      <w:r w:rsidR="00195F0B">
        <w:rPr>
          <w:rStyle w:val="FootnoteReference"/>
          <w:lang w:val="en-GB"/>
        </w:rPr>
        <w:footnoteReference w:id="66"/>
      </w:r>
      <w:r w:rsidR="00195F0B">
        <w:rPr>
          <w:lang w:val="en-GB"/>
        </w:rPr>
        <w:t xml:space="preserve"> Through the </w:t>
      </w:r>
      <w:r w:rsidR="00920991" w:rsidRPr="00195F0B">
        <w:t>Public Service Concession Contract</w:t>
      </w:r>
      <w:r w:rsidR="00920991">
        <w:t>, the Government of Malta has committed to promot</w:t>
      </w:r>
      <w:r w:rsidR="006C1FB3">
        <w:t xml:space="preserve">ing the scheme at events </w:t>
      </w:r>
      <w:proofErr w:type="spellStart"/>
      <w:r w:rsidR="006C1FB3">
        <w:t>organis</w:t>
      </w:r>
      <w:r w:rsidR="00920991">
        <w:t>ed</w:t>
      </w:r>
      <w:proofErr w:type="spellEnd"/>
      <w:r w:rsidR="00920991">
        <w:t xml:space="preserve"> by Henley &amp; </w:t>
      </w:r>
      <w:r w:rsidR="00920991">
        <w:lastRenderedPageBreak/>
        <w:t>Partners</w:t>
      </w:r>
      <w:r w:rsidR="002D546E">
        <w:t xml:space="preserve">. Article 7.4 of the said contract stipulates that </w:t>
      </w:r>
    </w:p>
    <w:p w14:paraId="42798709" w14:textId="089337FD" w:rsidR="00BD7846" w:rsidRPr="00F2379D" w:rsidRDefault="002D546E" w:rsidP="002B1BB7">
      <w:pPr>
        <w:pStyle w:val="MBT"/>
        <w:ind w:left="708"/>
      </w:pPr>
      <w:r>
        <w:t>‘</w:t>
      </w:r>
      <w:r w:rsidR="00440A7F">
        <w:t>[f]</w:t>
      </w:r>
      <w:proofErr w:type="spellStart"/>
      <w:r>
        <w:t>rom</w:t>
      </w:r>
      <w:proofErr w:type="spellEnd"/>
      <w:r>
        <w:t xml:space="preserve"> time to time, and at Concessionaire discretion, the Concessionaire will, at its own costs and expense organize events to professionally promote the </w:t>
      </w:r>
      <w:proofErr w:type="spellStart"/>
      <w:r>
        <w:t>programme</w:t>
      </w:r>
      <w:proofErr w:type="spellEnd"/>
      <w:r>
        <w:t xml:space="preserve"> worldwide, and the government will ensure to send, whenever requested by the Concessionaire, appropriate, high-ranking government representatives, or other senior government officials, to speak at the events and represent the </w:t>
      </w:r>
      <w:proofErr w:type="spellStart"/>
      <w:r>
        <w:t>Programme</w:t>
      </w:r>
      <w:proofErr w:type="spellEnd"/>
      <w:r>
        <w:t xml:space="preserve"> and the Government.</w:t>
      </w:r>
      <w:r w:rsidR="00920991">
        <w:t>’</w:t>
      </w:r>
      <w:r w:rsidR="00920991">
        <w:rPr>
          <w:rStyle w:val="FootnoteReference"/>
        </w:rPr>
        <w:footnoteReference w:id="67"/>
      </w:r>
      <w:r w:rsidR="00691328">
        <w:t xml:space="preserve"> </w:t>
      </w:r>
    </w:p>
    <w:p w14:paraId="4B3E4620" w14:textId="2A721CA5" w:rsidR="00E831EF" w:rsidRDefault="00E831EF" w:rsidP="00243DF3">
      <w:pPr>
        <w:pStyle w:val="MBT"/>
        <w:rPr>
          <w:lang w:val="en-GB"/>
        </w:rPr>
      </w:pPr>
    </w:p>
    <w:p w14:paraId="2F151C02" w14:textId="77777777" w:rsidR="00EA69D5" w:rsidRDefault="0089658B" w:rsidP="00EA69D5">
      <w:pPr>
        <w:pStyle w:val="MBT"/>
        <w:rPr>
          <w:lang w:val="en-GB"/>
        </w:rPr>
      </w:pPr>
      <w:r w:rsidRPr="0044090D">
        <w:rPr>
          <w:lang w:val="en-GB"/>
        </w:rPr>
        <w:t>Article 25</w:t>
      </w:r>
      <w:r w:rsidR="00D9592E" w:rsidRPr="0044090D">
        <w:rPr>
          <w:lang w:val="en-GB"/>
        </w:rPr>
        <w:t xml:space="preserve"> of the Maltese Citizenship Act places oversight and reporting obligations o</w:t>
      </w:r>
      <w:r w:rsidR="00FF02FC" w:rsidRPr="0044090D">
        <w:rPr>
          <w:lang w:val="en-GB"/>
        </w:rPr>
        <w:t>n</w:t>
      </w:r>
      <w:r w:rsidR="00D9592E" w:rsidRPr="0044090D">
        <w:rPr>
          <w:lang w:val="en-GB"/>
        </w:rPr>
        <w:t xml:space="preserve"> the </w:t>
      </w:r>
      <w:proofErr w:type="spellStart"/>
      <w:r w:rsidR="006C1FB3" w:rsidRPr="006C1FB3">
        <w:rPr>
          <w:b/>
          <w:lang w:val="en-GB"/>
        </w:rPr>
        <w:t>ORiip</w:t>
      </w:r>
      <w:proofErr w:type="spellEnd"/>
      <w:r w:rsidR="004A7ADB" w:rsidRPr="00570AE2">
        <w:rPr>
          <w:lang w:val="en-GB"/>
        </w:rPr>
        <w:t>.</w:t>
      </w:r>
      <w:r w:rsidR="004A7ADB" w:rsidRPr="0044090D">
        <w:rPr>
          <w:lang w:val="en-GB"/>
        </w:rPr>
        <w:t xml:space="preserve"> The Regulator </w:t>
      </w:r>
      <w:r w:rsidR="00E831EF" w:rsidRPr="0044090D">
        <w:rPr>
          <w:lang w:val="en-GB"/>
        </w:rPr>
        <w:t xml:space="preserve">is responsible </w:t>
      </w:r>
      <w:r w:rsidRPr="0044090D">
        <w:rPr>
          <w:lang w:val="en-GB"/>
        </w:rPr>
        <w:t>for the correct implementation, monitoring and keeping under review of all aspects of the IIP.</w:t>
      </w:r>
      <w:r w:rsidR="00920991">
        <w:rPr>
          <w:lang w:val="en-GB"/>
        </w:rPr>
        <w:t xml:space="preserve"> The monitoring role of </w:t>
      </w:r>
      <w:proofErr w:type="spellStart"/>
      <w:r w:rsidR="00920991">
        <w:rPr>
          <w:lang w:val="en-GB"/>
        </w:rPr>
        <w:t>ORiip</w:t>
      </w:r>
      <w:proofErr w:type="spellEnd"/>
      <w:r w:rsidR="00920991">
        <w:rPr>
          <w:lang w:val="en-GB"/>
        </w:rPr>
        <w:t xml:space="preserve"> is explained in detail in </w:t>
      </w:r>
      <w:r w:rsidR="006C1FB3">
        <w:rPr>
          <w:lang w:val="en-GB"/>
        </w:rPr>
        <w:t>point</w:t>
      </w:r>
      <w:r w:rsidR="00920991">
        <w:rPr>
          <w:lang w:val="en-GB"/>
        </w:rPr>
        <w:t xml:space="preserve"> 1.3</w:t>
      </w:r>
      <w:r w:rsidR="006C1FB3">
        <w:rPr>
          <w:lang w:val="en-GB"/>
        </w:rPr>
        <w:t xml:space="preserve"> of this Section</w:t>
      </w:r>
      <w:r w:rsidR="00920991">
        <w:rPr>
          <w:lang w:val="en-GB"/>
        </w:rPr>
        <w:t>.</w:t>
      </w:r>
    </w:p>
    <w:p w14:paraId="57E03F28" w14:textId="77777777" w:rsidR="00920991" w:rsidRDefault="00920991" w:rsidP="00EA69D5">
      <w:pPr>
        <w:pStyle w:val="MBT"/>
        <w:rPr>
          <w:lang w:val="en-GB"/>
        </w:rPr>
      </w:pPr>
    </w:p>
    <w:p w14:paraId="4FDC4C0A" w14:textId="7A0C7F87" w:rsidR="008712EA" w:rsidRDefault="00570AE2" w:rsidP="00EA69D5">
      <w:pPr>
        <w:pStyle w:val="MBT"/>
        <w:rPr>
          <w:lang w:val="en-GB"/>
        </w:rPr>
      </w:pPr>
      <w:r>
        <w:rPr>
          <w:lang w:val="en-GB"/>
        </w:rPr>
        <w:t>As</w:t>
      </w:r>
      <w:r w:rsidR="00920991" w:rsidRPr="00920991">
        <w:rPr>
          <w:lang w:val="en-GB"/>
        </w:rPr>
        <w:t xml:space="preserve"> regards dissemination of information more generally, Regulation 9 of LN 47/2014 prohibits any person with the exception of Identity Malta, the concessionaire or an Approved Agent from advertising, publishing or disseminating publicly any information relating to the IIP for gain and without authorisation. Approved Agents can only advertise, publish or disseminate publicly information relating to the IIP in strict compliance with Identity Malta’s guidelines. In fact, Article 23(3) of the Maltese Citizenship Act, introduced by the 2013 amendments makes it an offence for any person to advertise, publish or disseminate publicly any information relating to the IIP for gain and without being duly authorised. Breaches are subject to a fine (</w:t>
      </w:r>
      <w:proofErr w:type="spellStart"/>
      <w:r w:rsidR="00920991" w:rsidRPr="008712EA">
        <w:rPr>
          <w:i/>
          <w:lang w:val="en-GB"/>
        </w:rPr>
        <w:t>multa</w:t>
      </w:r>
      <w:proofErr w:type="spellEnd"/>
      <w:r w:rsidR="00920991" w:rsidRPr="00920991">
        <w:rPr>
          <w:lang w:val="en-GB"/>
        </w:rPr>
        <w:t>) not exceeding EUR 20,000.</w:t>
      </w:r>
    </w:p>
    <w:p w14:paraId="1D962982" w14:textId="77777777" w:rsidR="009E7B43" w:rsidRPr="0044090D" w:rsidRDefault="009E7B43" w:rsidP="00850ED5">
      <w:pPr>
        <w:pStyle w:val="MBT"/>
        <w:rPr>
          <w:lang w:val="en-GB"/>
        </w:rPr>
      </w:pPr>
    </w:p>
    <w:p w14:paraId="24C3307A" w14:textId="77777777" w:rsidR="00AC2EEB" w:rsidRPr="0044090D" w:rsidRDefault="00AC2EEB" w:rsidP="00850ED5">
      <w:pPr>
        <w:pStyle w:val="MH2"/>
        <w:spacing w:after="0"/>
        <w:outlineLvl w:val="9"/>
      </w:pPr>
      <w:r w:rsidRPr="0044090D">
        <w:t>Monitoring of the proceedings and the authorities involved</w:t>
      </w:r>
    </w:p>
    <w:p w14:paraId="6F278066" w14:textId="77777777" w:rsidR="00243DF3" w:rsidRPr="0044090D" w:rsidRDefault="00243DF3" w:rsidP="00850ED5">
      <w:pPr>
        <w:pStyle w:val="MBT"/>
        <w:rPr>
          <w:lang w:val="en-GB"/>
        </w:rPr>
      </w:pPr>
    </w:p>
    <w:p w14:paraId="5975BF37" w14:textId="77777777" w:rsidR="006D5DEA" w:rsidRPr="0044090D" w:rsidRDefault="006B6827" w:rsidP="00850ED5">
      <w:pPr>
        <w:pStyle w:val="MBT"/>
        <w:rPr>
          <w:lang w:val="en-GB"/>
        </w:rPr>
      </w:pPr>
      <w:r w:rsidRPr="0044090D">
        <w:rPr>
          <w:lang w:val="en-GB"/>
        </w:rPr>
        <w:t xml:space="preserve">Regulation 12 </w:t>
      </w:r>
      <w:r w:rsidR="00E64A2B" w:rsidRPr="0044090D">
        <w:rPr>
          <w:lang w:val="en-GB"/>
        </w:rPr>
        <w:t xml:space="preserve">of LN 47/2014 </w:t>
      </w:r>
      <w:r w:rsidRPr="0044090D">
        <w:rPr>
          <w:lang w:val="en-GB"/>
        </w:rPr>
        <w:t xml:space="preserve">sets out a </w:t>
      </w:r>
      <w:r w:rsidRPr="0044090D">
        <w:rPr>
          <w:b/>
          <w:lang w:val="en-GB"/>
        </w:rPr>
        <w:t>maximum number of admissions</w:t>
      </w:r>
      <w:r w:rsidRPr="0044090D">
        <w:rPr>
          <w:lang w:val="en-GB"/>
        </w:rPr>
        <w:t xml:space="preserve">. </w:t>
      </w:r>
      <w:r w:rsidR="009C33E4" w:rsidRPr="0044090D">
        <w:rPr>
          <w:lang w:val="en-GB"/>
        </w:rPr>
        <w:t>The</w:t>
      </w:r>
      <w:r w:rsidRPr="0044090D">
        <w:rPr>
          <w:lang w:val="en-GB"/>
        </w:rPr>
        <w:t xml:space="preserve"> number of successful main applicant</w:t>
      </w:r>
      <w:r w:rsidR="00F46CE5" w:rsidRPr="0044090D">
        <w:rPr>
          <w:lang w:val="en-GB"/>
        </w:rPr>
        <w:t>s</w:t>
      </w:r>
      <w:r w:rsidRPr="0044090D">
        <w:rPr>
          <w:lang w:val="en-GB"/>
        </w:rPr>
        <w:t>,</w:t>
      </w:r>
      <w:r w:rsidR="00FF02FC" w:rsidRPr="0044090D">
        <w:rPr>
          <w:lang w:val="en-GB"/>
        </w:rPr>
        <w:t xml:space="preserve"> therefore</w:t>
      </w:r>
      <w:r w:rsidRPr="0044090D">
        <w:rPr>
          <w:lang w:val="en-GB"/>
        </w:rPr>
        <w:t xml:space="preserve"> excluding dependants, </w:t>
      </w:r>
      <w:r w:rsidR="009C33E4" w:rsidRPr="0044090D">
        <w:rPr>
          <w:lang w:val="en-GB"/>
        </w:rPr>
        <w:t>is capped at</w:t>
      </w:r>
      <w:r w:rsidRPr="0044090D">
        <w:rPr>
          <w:lang w:val="en-GB"/>
        </w:rPr>
        <w:t xml:space="preserve"> 1800 for the whole duration of the </w:t>
      </w:r>
      <w:r w:rsidR="009C33E4" w:rsidRPr="0044090D">
        <w:rPr>
          <w:lang w:val="en-GB"/>
        </w:rPr>
        <w:t>IIP</w:t>
      </w:r>
      <w:r w:rsidRPr="0044090D">
        <w:rPr>
          <w:lang w:val="en-GB"/>
        </w:rPr>
        <w:t>.</w:t>
      </w:r>
      <w:r w:rsidR="00E64A2B" w:rsidRPr="0044090D">
        <w:rPr>
          <w:lang w:val="en-GB"/>
        </w:rPr>
        <w:t xml:space="preserve"> </w:t>
      </w:r>
      <w:r w:rsidR="009C33E4" w:rsidRPr="0044090D">
        <w:rPr>
          <w:lang w:val="en-GB"/>
        </w:rPr>
        <w:t>It is worth noting here that LN 47/2014 provides for a broad range of dependants</w:t>
      </w:r>
      <w:r w:rsidR="00936F45" w:rsidRPr="0044090D">
        <w:rPr>
          <w:lang w:val="en-GB"/>
        </w:rPr>
        <w:t xml:space="preserve"> including the spouse, minor children, adult children falling within a specific age group and subject to certain conditions, parents and grandparents of a specific age group and subject to certain conditions as explained in </w:t>
      </w:r>
      <w:r w:rsidR="009B0FA0">
        <w:rPr>
          <w:lang w:val="en-GB"/>
        </w:rPr>
        <w:t xml:space="preserve">point </w:t>
      </w:r>
      <w:r w:rsidR="00936F45" w:rsidRPr="0044090D">
        <w:rPr>
          <w:lang w:val="en-GB"/>
        </w:rPr>
        <w:t xml:space="preserve">1.5 below. It is therefore </w:t>
      </w:r>
      <w:r w:rsidR="009C33E4" w:rsidRPr="0044090D">
        <w:rPr>
          <w:lang w:val="en-GB"/>
        </w:rPr>
        <w:t>possible for an excess of 1800 admissions to Maltese citizenship under the IIP.</w:t>
      </w:r>
      <w:r w:rsidR="004A7ADB" w:rsidRPr="0044090D">
        <w:rPr>
          <w:lang w:val="en-GB"/>
        </w:rPr>
        <w:t xml:space="preserve"> For example, in the July 2015 to June 2016 period, 450 applications were made and 1186 dependants were included in the 450 applications – on average each application contained one main applicant and three dependants</w:t>
      </w:r>
      <w:r w:rsidR="00850ED5">
        <w:rPr>
          <w:lang w:val="en-GB"/>
        </w:rPr>
        <w:t>.</w:t>
      </w:r>
      <w:r w:rsidR="004A7ADB" w:rsidRPr="0044090D">
        <w:rPr>
          <w:rStyle w:val="FootnoteReference"/>
          <w:lang w:val="en-GB"/>
        </w:rPr>
        <w:footnoteReference w:id="68"/>
      </w:r>
    </w:p>
    <w:p w14:paraId="15358C0E" w14:textId="77777777" w:rsidR="006D5DEA" w:rsidRPr="0044090D" w:rsidRDefault="006D5DEA" w:rsidP="00243DF3">
      <w:pPr>
        <w:pStyle w:val="MBT"/>
        <w:rPr>
          <w:lang w:val="en-GB"/>
        </w:rPr>
      </w:pPr>
    </w:p>
    <w:p w14:paraId="424ABE37" w14:textId="77777777" w:rsidR="00402620" w:rsidRPr="0044090D" w:rsidRDefault="008F4111" w:rsidP="00243DF3">
      <w:pPr>
        <w:pStyle w:val="MBT"/>
        <w:rPr>
          <w:lang w:val="en-GB"/>
        </w:rPr>
      </w:pPr>
      <w:r w:rsidRPr="0044090D">
        <w:rPr>
          <w:lang w:val="en-GB"/>
        </w:rPr>
        <w:t>It is also noted that a</w:t>
      </w:r>
      <w:r w:rsidR="00402620" w:rsidRPr="0044090D">
        <w:rPr>
          <w:lang w:val="en-GB"/>
        </w:rPr>
        <w:t xml:space="preserve">t a </w:t>
      </w:r>
      <w:r w:rsidRPr="0044090D">
        <w:rPr>
          <w:lang w:val="en-GB"/>
        </w:rPr>
        <w:t xml:space="preserve">recent </w:t>
      </w:r>
      <w:r w:rsidR="00402620" w:rsidRPr="0044090D">
        <w:rPr>
          <w:lang w:val="en-GB"/>
        </w:rPr>
        <w:t>Global Residence and Citizenship Conference hosted by Henley &amp; Partners, the</w:t>
      </w:r>
      <w:r w:rsidR="00E64A2B" w:rsidRPr="0044090D">
        <w:rPr>
          <w:lang w:val="en-GB"/>
        </w:rPr>
        <w:t xml:space="preserve"> Maltese </w:t>
      </w:r>
      <w:r w:rsidR="00402620" w:rsidRPr="0044090D">
        <w:rPr>
          <w:lang w:val="en-GB"/>
        </w:rPr>
        <w:t>Prime Minister put forward the government’s</w:t>
      </w:r>
      <w:r w:rsidR="00E64A2B" w:rsidRPr="0044090D">
        <w:rPr>
          <w:lang w:val="en-GB"/>
        </w:rPr>
        <w:t xml:space="preserve"> intention to renew the scheme with ‘more </w:t>
      </w:r>
      <w:r w:rsidR="00402620" w:rsidRPr="0044090D">
        <w:rPr>
          <w:lang w:val="en-GB"/>
        </w:rPr>
        <w:t>exclusive’ eligibility criteria stating that it had a strong mandate to renew the IIP</w:t>
      </w:r>
      <w:r w:rsidR="00850ED5">
        <w:rPr>
          <w:lang w:val="en-GB"/>
        </w:rPr>
        <w:t>.</w:t>
      </w:r>
      <w:r w:rsidR="00402620" w:rsidRPr="0044090D">
        <w:rPr>
          <w:rStyle w:val="FootnoteReference"/>
          <w:lang w:val="en-GB"/>
        </w:rPr>
        <w:footnoteReference w:id="69"/>
      </w:r>
    </w:p>
    <w:p w14:paraId="4870289C" w14:textId="77777777" w:rsidR="006B6827" w:rsidRPr="0044090D" w:rsidRDefault="006B6827" w:rsidP="00243DF3">
      <w:pPr>
        <w:pStyle w:val="MBT"/>
        <w:rPr>
          <w:lang w:val="en-GB"/>
        </w:rPr>
      </w:pPr>
    </w:p>
    <w:p w14:paraId="11D2C057" w14:textId="77777777" w:rsidR="00771A6E" w:rsidRPr="0044090D" w:rsidRDefault="006D5DEA" w:rsidP="00243DF3">
      <w:pPr>
        <w:pStyle w:val="MBT"/>
        <w:rPr>
          <w:lang w:val="en-GB"/>
        </w:rPr>
      </w:pPr>
      <w:r w:rsidRPr="00084852">
        <w:rPr>
          <w:b/>
          <w:lang w:val="en-GB"/>
        </w:rPr>
        <w:t>Scrutiny on the number of successful applications</w:t>
      </w:r>
      <w:r w:rsidRPr="0044090D">
        <w:rPr>
          <w:lang w:val="en-GB"/>
        </w:rPr>
        <w:t xml:space="preserve"> must be analysed in the context of </w:t>
      </w:r>
      <w:r w:rsidR="00771A6E" w:rsidRPr="0044090D">
        <w:rPr>
          <w:lang w:val="en-GB"/>
        </w:rPr>
        <w:t xml:space="preserve">Article 25 </w:t>
      </w:r>
      <w:r w:rsidR="00402620" w:rsidRPr="0044090D">
        <w:rPr>
          <w:lang w:val="en-GB"/>
        </w:rPr>
        <w:t xml:space="preserve">of the </w:t>
      </w:r>
      <w:r w:rsidRPr="0044090D">
        <w:rPr>
          <w:lang w:val="en-GB"/>
        </w:rPr>
        <w:t xml:space="preserve">amended </w:t>
      </w:r>
      <w:r w:rsidR="00402620" w:rsidRPr="0044090D">
        <w:rPr>
          <w:lang w:val="en-GB"/>
        </w:rPr>
        <w:t xml:space="preserve">Maltese Citizenship Act </w:t>
      </w:r>
      <w:r w:rsidRPr="0044090D">
        <w:rPr>
          <w:lang w:val="en-GB"/>
        </w:rPr>
        <w:t xml:space="preserve">that </w:t>
      </w:r>
      <w:r w:rsidR="00402620" w:rsidRPr="0044090D">
        <w:rPr>
          <w:lang w:val="en-GB"/>
        </w:rPr>
        <w:t>d</w:t>
      </w:r>
      <w:r w:rsidR="00771A6E" w:rsidRPr="0044090D">
        <w:rPr>
          <w:lang w:val="en-GB"/>
        </w:rPr>
        <w:t xml:space="preserve">eals with the appointment of the Regulator </w:t>
      </w:r>
      <w:r w:rsidRPr="0044090D">
        <w:rPr>
          <w:lang w:val="en-GB"/>
        </w:rPr>
        <w:t xml:space="preserve">for the IIP </w:t>
      </w:r>
      <w:r w:rsidR="00771A6E" w:rsidRPr="0044090D">
        <w:rPr>
          <w:lang w:val="en-GB"/>
        </w:rPr>
        <w:t>and monitoring of the IIP. The Regulator is responsible for keeping under review all aspects of the IIP</w:t>
      </w:r>
      <w:r w:rsidRPr="0044090D">
        <w:rPr>
          <w:lang w:val="en-GB"/>
        </w:rPr>
        <w:t>, therefore, including the number of successful applicants</w:t>
      </w:r>
      <w:r w:rsidR="00771A6E" w:rsidRPr="0044090D">
        <w:rPr>
          <w:lang w:val="en-GB"/>
        </w:rPr>
        <w:t>. He must act in his individual judgment and is not subject to the discretion or control of any other person or authority.</w:t>
      </w:r>
      <w:r w:rsidR="0089658B" w:rsidRPr="0044090D">
        <w:rPr>
          <w:lang w:val="en-GB"/>
        </w:rPr>
        <w:t xml:space="preserve"> </w:t>
      </w:r>
      <w:r w:rsidR="001D710F" w:rsidRPr="0044090D">
        <w:rPr>
          <w:lang w:val="en-GB"/>
        </w:rPr>
        <w:t>The</w:t>
      </w:r>
      <w:r w:rsidR="00771A6E" w:rsidRPr="0044090D">
        <w:rPr>
          <w:lang w:val="en-GB"/>
        </w:rPr>
        <w:t xml:space="preserve"> Regulator may report to the Minister on any matter relating to his functions under the </w:t>
      </w:r>
      <w:r w:rsidR="001D710F" w:rsidRPr="0044090D">
        <w:rPr>
          <w:lang w:val="en-GB"/>
        </w:rPr>
        <w:t xml:space="preserve">Maltese Citizenship </w:t>
      </w:r>
      <w:r w:rsidR="00771A6E" w:rsidRPr="0044090D">
        <w:rPr>
          <w:lang w:val="en-GB"/>
        </w:rPr>
        <w:t>Act</w:t>
      </w:r>
      <w:r w:rsidR="001D710F" w:rsidRPr="0044090D">
        <w:rPr>
          <w:lang w:val="en-GB"/>
        </w:rPr>
        <w:t xml:space="preserve"> at any time and</w:t>
      </w:r>
      <w:r w:rsidR="00771A6E" w:rsidRPr="0044090D">
        <w:rPr>
          <w:lang w:val="en-GB"/>
        </w:rPr>
        <w:t xml:space="preserve"> is required </w:t>
      </w:r>
      <w:r w:rsidR="001D710F" w:rsidRPr="0044090D">
        <w:rPr>
          <w:lang w:val="en-GB"/>
        </w:rPr>
        <w:t xml:space="preserve">at law </w:t>
      </w:r>
      <w:r w:rsidR="00771A6E" w:rsidRPr="0044090D">
        <w:rPr>
          <w:lang w:val="en-GB"/>
        </w:rPr>
        <w:t xml:space="preserve">to </w:t>
      </w:r>
      <w:r w:rsidR="00D30A3C" w:rsidRPr="0044090D">
        <w:rPr>
          <w:lang w:val="en-GB"/>
        </w:rPr>
        <w:t>make an annual report on his functions to the Minister</w:t>
      </w:r>
      <w:r w:rsidR="00850ED5">
        <w:rPr>
          <w:lang w:val="en-GB"/>
        </w:rPr>
        <w:t>.</w:t>
      </w:r>
      <w:r w:rsidR="001D710F" w:rsidRPr="0044090D">
        <w:rPr>
          <w:rStyle w:val="FootnoteReference"/>
          <w:lang w:val="en-GB"/>
        </w:rPr>
        <w:footnoteReference w:id="70"/>
      </w:r>
      <w:r w:rsidR="008F4111" w:rsidRPr="0044090D">
        <w:rPr>
          <w:lang w:val="en-GB"/>
        </w:rPr>
        <w:t xml:space="preserve"> This report is subject to parliamentary scrutiny, as the Minister must present it to the House of Representatives</w:t>
      </w:r>
      <w:r w:rsidR="00850ED5">
        <w:rPr>
          <w:lang w:val="en-GB"/>
        </w:rPr>
        <w:t>.</w:t>
      </w:r>
      <w:r w:rsidR="008F4111" w:rsidRPr="0044090D">
        <w:rPr>
          <w:rStyle w:val="FootnoteReference"/>
          <w:lang w:val="en-GB"/>
        </w:rPr>
        <w:footnoteReference w:id="71"/>
      </w:r>
      <w:r w:rsidR="008F4111" w:rsidRPr="0044090D">
        <w:rPr>
          <w:lang w:val="en-GB"/>
        </w:rPr>
        <w:t xml:space="preserve"> </w:t>
      </w:r>
      <w:r w:rsidR="00D30A3C" w:rsidRPr="0044090D">
        <w:rPr>
          <w:lang w:val="en-GB"/>
        </w:rPr>
        <w:t xml:space="preserve"> </w:t>
      </w:r>
      <w:r w:rsidR="008F4111" w:rsidRPr="0044090D">
        <w:rPr>
          <w:lang w:val="en-GB"/>
        </w:rPr>
        <w:t>The</w:t>
      </w:r>
      <w:r w:rsidR="00D30A3C" w:rsidRPr="0044090D">
        <w:rPr>
          <w:lang w:val="en-GB"/>
        </w:rPr>
        <w:t xml:space="preserve"> annual </w:t>
      </w:r>
      <w:r w:rsidR="00D30A3C" w:rsidRPr="0044090D">
        <w:rPr>
          <w:lang w:val="en-GB"/>
        </w:rPr>
        <w:lastRenderedPageBreak/>
        <w:t>report must not include personal data relating to individuals who acquired Maltese citizenship under the IIP</w:t>
      </w:r>
      <w:r w:rsidR="008F4111" w:rsidRPr="0044090D">
        <w:rPr>
          <w:rStyle w:val="FootnoteReference"/>
          <w:lang w:val="en-GB"/>
        </w:rPr>
        <w:footnoteReference w:id="72"/>
      </w:r>
      <w:r w:rsidR="001D710F" w:rsidRPr="0044090D">
        <w:rPr>
          <w:lang w:val="en-GB"/>
        </w:rPr>
        <w:t xml:space="preserve"> (see </w:t>
      </w:r>
      <w:r w:rsidR="009B0FA0">
        <w:rPr>
          <w:lang w:val="en-GB"/>
        </w:rPr>
        <w:t xml:space="preserve">point </w:t>
      </w:r>
      <w:r w:rsidR="001D710F" w:rsidRPr="0044090D">
        <w:rPr>
          <w:lang w:val="en-GB"/>
        </w:rPr>
        <w:t>1.4 below).</w:t>
      </w:r>
      <w:r w:rsidR="00D30A3C" w:rsidRPr="0044090D">
        <w:rPr>
          <w:lang w:val="en-GB"/>
        </w:rPr>
        <w:t xml:space="preserve"> </w:t>
      </w:r>
    </w:p>
    <w:p w14:paraId="5D299103" w14:textId="77777777" w:rsidR="00D30A3C" w:rsidRPr="0044090D" w:rsidRDefault="00D30A3C" w:rsidP="00243DF3">
      <w:pPr>
        <w:pStyle w:val="MBT"/>
        <w:rPr>
          <w:lang w:val="en-GB"/>
        </w:rPr>
      </w:pPr>
    </w:p>
    <w:p w14:paraId="1EACFDE7" w14:textId="77777777" w:rsidR="00D30A3C" w:rsidRPr="0044090D" w:rsidRDefault="00D30A3C" w:rsidP="00243DF3">
      <w:pPr>
        <w:pStyle w:val="MBT"/>
        <w:rPr>
          <w:lang w:val="en-GB"/>
        </w:rPr>
      </w:pPr>
      <w:r w:rsidRPr="0044090D">
        <w:rPr>
          <w:lang w:val="en-GB"/>
        </w:rPr>
        <w:t xml:space="preserve">In addition to oversight and reporting obligations, the Regulator must also investigate complaints about the IIP in accordance with Article 25A of the </w:t>
      </w:r>
      <w:r w:rsidR="00084852">
        <w:rPr>
          <w:lang w:val="en-GB"/>
        </w:rPr>
        <w:t xml:space="preserve">Maltese Citizenship </w:t>
      </w:r>
      <w:r w:rsidRPr="0044090D">
        <w:rPr>
          <w:lang w:val="en-GB"/>
        </w:rPr>
        <w:t>Act.</w:t>
      </w:r>
      <w:r w:rsidR="00290C47">
        <w:rPr>
          <w:lang w:val="en-GB"/>
        </w:rPr>
        <w:t xml:space="preserve"> Thus far, however, in the absence of a legal instrument enabling the Regulator to investigate complaints, this institution has been unable to do so</w:t>
      </w:r>
      <w:r w:rsidR="00850ED5">
        <w:rPr>
          <w:lang w:val="en-GB"/>
        </w:rPr>
        <w:t xml:space="preserve"> (see </w:t>
      </w:r>
      <w:r w:rsidR="00850ED5" w:rsidRPr="00850ED5">
        <w:rPr>
          <w:lang w:val="en-GB"/>
        </w:rPr>
        <w:t>point 1.1. above)</w:t>
      </w:r>
      <w:r w:rsidR="001B1591" w:rsidRPr="00850ED5">
        <w:rPr>
          <w:lang w:val="en-GB"/>
        </w:rPr>
        <w:t xml:space="preserve">. The </w:t>
      </w:r>
      <w:r w:rsidR="00850ED5" w:rsidRPr="00850ED5">
        <w:rPr>
          <w:lang w:val="en-GB"/>
        </w:rPr>
        <w:t>Ombu</w:t>
      </w:r>
      <w:r w:rsidR="001B1591" w:rsidRPr="00850ED5">
        <w:rPr>
          <w:lang w:val="en-GB"/>
        </w:rPr>
        <w:t>dsman</w:t>
      </w:r>
      <w:r w:rsidR="00850ED5" w:rsidRPr="00850ED5">
        <w:rPr>
          <w:rStyle w:val="FootnoteReference"/>
          <w:lang w:val="en-GB"/>
        </w:rPr>
        <w:footnoteReference w:id="73"/>
      </w:r>
      <w:r w:rsidR="001B1591" w:rsidRPr="00850ED5">
        <w:rPr>
          <w:lang w:val="en-GB"/>
        </w:rPr>
        <w:t xml:space="preserve"> deals with general c</w:t>
      </w:r>
      <w:r w:rsidR="00850ED5" w:rsidRPr="00850ED5">
        <w:rPr>
          <w:lang w:val="en-GB"/>
        </w:rPr>
        <w:t>omplaints against administrative authorities</w:t>
      </w:r>
      <w:r w:rsidR="00290C47" w:rsidRPr="00850ED5">
        <w:rPr>
          <w:lang w:val="en-GB"/>
        </w:rPr>
        <w:t>.</w:t>
      </w:r>
    </w:p>
    <w:p w14:paraId="6D954A47" w14:textId="77777777" w:rsidR="00FF02FC" w:rsidRPr="0044090D" w:rsidRDefault="00FF02FC" w:rsidP="00243DF3">
      <w:pPr>
        <w:pStyle w:val="MBT"/>
        <w:rPr>
          <w:lang w:val="en-GB"/>
        </w:rPr>
      </w:pPr>
    </w:p>
    <w:p w14:paraId="134F6AF3" w14:textId="77777777" w:rsidR="00D30A3C" w:rsidRPr="0044090D" w:rsidRDefault="001D710F" w:rsidP="00243DF3">
      <w:pPr>
        <w:pStyle w:val="MBT"/>
        <w:rPr>
          <w:lang w:val="en-GB"/>
        </w:rPr>
      </w:pPr>
      <w:r w:rsidRPr="0044090D">
        <w:rPr>
          <w:lang w:val="en-GB"/>
        </w:rPr>
        <w:t>A</w:t>
      </w:r>
      <w:r w:rsidR="00FF02FC" w:rsidRPr="0044090D">
        <w:rPr>
          <w:lang w:val="en-GB"/>
        </w:rPr>
        <w:t xml:space="preserve"> Monitoring Committee</w:t>
      </w:r>
      <w:r w:rsidRPr="0044090D">
        <w:rPr>
          <w:rStyle w:val="FootnoteReference"/>
          <w:lang w:val="en-GB"/>
        </w:rPr>
        <w:footnoteReference w:id="74"/>
      </w:r>
      <w:r w:rsidR="00FF02FC" w:rsidRPr="0044090D">
        <w:rPr>
          <w:lang w:val="en-GB"/>
        </w:rPr>
        <w:t xml:space="preserve"> consisting of the Prime Minister, the Minister and the Leader of the Opposition</w:t>
      </w:r>
      <w:r w:rsidRPr="0044090D">
        <w:rPr>
          <w:lang w:val="en-GB"/>
        </w:rPr>
        <w:t>, monitors</w:t>
      </w:r>
      <w:r w:rsidR="00FF02FC" w:rsidRPr="0044090D">
        <w:rPr>
          <w:lang w:val="en-GB"/>
        </w:rPr>
        <w:t xml:space="preserve"> the workings of the IIP</w:t>
      </w:r>
      <w:r w:rsidRPr="0044090D">
        <w:rPr>
          <w:lang w:val="en-GB"/>
        </w:rPr>
        <w:t>. It</w:t>
      </w:r>
      <w:r w:rsidR="00FF02FC" w:rsidRPr="0044090D">
        <w:rPr>
          <w:lang w:val="en-GB"/>
        </w:rPr>
        <w:t xml:space="preserve"> </w:t>
      </w:r>
      <w:r w:rsidRPr="0044090D">
        <w:rPr>
          <w:lang w:val="en-GB"/>
        </w:rPr>
        <w:t xml:space="preserve">must meet at least once a year and </w:t>
      </w:r>
      <w:r w:rsidR="00FF02FC" w:rsidRPr="0044090D">
        <w:rPr>
          <w:lang w:val="en-GB"/>
        </w:rPr>
        <w:t>can ask the Regulator to report to it at its meetings. Presumably it also monitors the number of applications on the basis of the Regulator’s reports</w:t>
      </w:r>
      <w:r w:rsidRPr="0044090D">
        <w:rPr>
          <w:lang w:val="en-GB"/>
        </w:rPr>
        <w:t>.</w:t>
      </w:r>
    </w:p>
    <w:p w14:paraId="68C6A825" w14:textId="77777777" w:rsidR="00D30A3C" w:rsidRPr="0044090D" w:rsidRDefault="00D30A3C" w:rsidP="00243DF3">
      <w:pPr>
        <w:pStyle w:val="MBT"/>
        <w:rPr>
          <w:lang w:val="en-GB"/>
        </w:rPr>
      </w:pPr>
    </w:p>
    <w:p w14:paraId="282D724D" w14:textId="77777777" w:rsidR="00191E35" w:rsidRPr="00850ED5" w:rsidRDefault="00AC2EEB" w:rsidP="00850ED5">
      <w:pPr>
        <w:pStyle w:val="MH2"/>
        <w:spacing w:after="0"/>
        <w:outlineLvl w:val="9"/>
      </w:pPr>
      <w:r w:rsidRPr="0044090D">
        <w:t>Information on applications</w:t>
      </w:r>
    </w:p>
    <w:p w14:paraId="7286CC29" w14:textId="77777777" w:rsidR="00850ED5" w:rsidRDefault="00850ED5" w:rsidP="00850ED5">
      <w:pPr>
        <w:pStyle w:val="MBT"/>
        <w:rPr>
          <w:lang w:val="en-GB"/>
        </w:rPr>
      </w:pPr>
    </w:p>
    <w:p w14:paraId="38533915" w14:textId="77777777" w:rsidR="0016355D" w:rsidRPr="0044090D" w:rsidRDefault="0016355D" w:rsidP="00850ED5">
      <w:pPr>
        <w:pStyle w:val="MBT"/>
        <w:rPr>
          <w:lang w:val="en-GB"/>
        </w:rPr>
      </w:pPr>
      <w:r w:rsidRPr="0044090D">
        <w:rPr>
          <w:lang w:val="en-GB"/>
        </w:rPr>
        <w:t xml:space="preserve">As stated in </w:t>
      </w:r>
      <w:r w:rsidR="009B0FA0">
        <w:rPr>
          <w:lang w:val="en-GB"/>
        </w:rPr>
        <w:t xml:space="preserve">point </w:t>
      </w:r>
      <w:r w:rsidRPr="0044090D">
        <w:rPr>
          <w:lang w:val="en-GB"/>
        </w:rPr>
        <w:t xml:space="preserve">1.3 above, Article 25(8) of the Maltese Citizenship Act expressly states that the Regulator’s annual report must not include personal data relating to individuals who acquired Maltese citizenship under the IIP. </w:t>
      </w:r>
      <w:proofErr w:type="gramStart"/>
      <w:r w:rsidRPr="0044090D">
        <w:rPr>
          <w:lang w:val="en-GB"/>
        </w:rPr>
        <w:t>Therefore</w:t>
      </w:r>
      <w:proofErr w:type="gramEnd"/>
      <w:r w:rsidRPr="0044090D">
        <w:rPr>
          <w:lang w:val="en-GB"/>
        </w:rPr>
        <w:t xml:space="preserve"> the </w:t>
      </w:r>
      <w:r w:rsidR="006678C8" w:rsidRPr="0044090D">
        <w:rPr>
          <w:lang w:val="en-GB"/>
        </w:rPr>
        <w:t>r</w:t>
      </w:r>
      <w:r w:rsidRPr="0044090D">
        <w:rPr>
          <w:lang w:val="en-GB"/>
        </w:rPr>
        <w:t xml:space="preserve">eports of the </w:t>
      </w:r>
      <w:proofErr w:type="spellStart"/>
      <w:r w:rsidR="006678C8" w:rsidRPr="0044090D">
        <w:rPr>
          <w:lang w:val="en-GB"/>
        </w:rPr>
        <w:t>ORiip</w:t>
      </w:r>
      <w:proofErr w:type="spellEnd"/>
      <w:r w:rsidRPr="0044090D">
        <w:rPr>
          <w:lang w:val="en-GB"/>
        </w:rPr>
        <w:t xml:space="preserve"> do not contain any names. The Regulator publishes information on the number of successful </w:t>
      </w:r>
      <w:r w:rsidR="008A6E1C">
        <w:rPr>
          <w:lang w:val="en-GB"/>
        </w:rPr>
        <w:t xml:space="preserve">IIP </w:t>
      </w:r>
      <w:r w:rsidRPr="0044090D">
        <w:rPr>
          <w:lang w:val="en-GB"/>
        </w:rPr>
        <w:t>applications and the geographical distribution of the applications.</w:t>
      </w:r>
    </w:p>
    <w:p w14:paraId="6BC19B97" w14:textId="77777777" w:rsidR="0016355D" w:rsidRPr="0044090D" w:rsidRDefault="0016355D" w:rsidP="00F75B83">
      <w:pPr>
        <w:pStyle w:val="MBT"/>
        <w:rPr>
          <w:lang w:val="en-GB"/>
        </w:rPr>
      </w:pPr>
    </w:p>
    <w:p w14:paraId="7D7ADC33" w14:textId="77777777" w:rsidR="006678C8" w:rsidRPr="0044090D" w:rsidRDefault="0016355D" w:rsidP="00F75B83">
      <w:pPr>
        <w:pStyle w:val="MBT"/>
        <w:rPr>
          <w:lang w:val="en-GB"/>
        </w:rPr>
      </w:pPr>
      <w:r w:rsidRPr="0044090D">
        <w:rPr>
          <w:lang w:val="en-GB"/>
        </w:rPr>
        <w:t xml:space="preserve">On the other hand, </w:t>
      </w:r>
      <w:r w:rsidR="007E6901" w:rsidRPr="0044090D">
        <w:rPr>
          <w:lang w:val="en-GB"/>
        </w:rPr>
        <w:t xml:space="preserve">Regulation 14 </w:t>
      </w:r>
      <w:r w:rsidR="0050290E" w:rsidRPr="0044090D">
        <w:rPr>
          <w:lang w:val="en-GB"/>
        </w:rPr>
        <w:t xml:space="preserve">of LN 47/2014 </w:t>
      </w:r>
      <w:r w:rsidR="007E6901" w:rsidRPr="0044090D">
        <w:rPr>
          <w:lang w:val="en-GB"/>
        </w:rPr>
        <w:t xml:space="preserve">contains a disclosure </w:t>
      </w:r>
      <w:r w:rsidR="0050290E" w:rsidRPr="0044090D">
        <w:rPr>
          <w:lang w:val="en-GB"/>
        </w:rPr>
        <w:t>obligation. In accordance with R</w:t>
      </w:r>
      <w:r w:rsidR="007E6901" w:rsidRPr="0044090D">
        <w:rPr>
          <w:lang w:val="en-GB"/>
        </w:rPr>
        <w:t xml:space="preserve">egulation 14(1), the IIP must be operated with the utmost consideration of </w:t>
      </w:r>
      <w:r w:rsidR="006678C8" w:rsidRPr="0044090D">
        <w:rPr>
          <w:lang w:val="en-GB"/>
        </w:rPr>
        <w:t xml:space="preserve">Malta’s </w:t>
      </w:r>
      <w:r w:rsidR="007E6901" w:rsidRPr="0044090D">
        <w:rPr>
          <w:lang w:val="en-GB"/>
        </w:rPr>
        <w:t xml:space="preserve">international obligations and of preserving Malta’s good reputation as a </w:t>
      </w:r>
      <w:r w:rsidR="00F54A7A" w:rsidRPr="0044090D">
        <w:rPr>
          <w:lang w:val="en-GB"/>
        </w:rPr>
        <w:t>worthy</w:t>
      </w:r>
      <w:r w:rsidR="007E6901" w:rsidRPr="0044090D">
        <w:rPr>
          <w:lang w:val="en-GB"/>
        </w:rPr>
        <w:t xml:space="preserve">, transparent and reputable financial centre and a </w:t>
      </w:r>
      <w:r w:rsidR="00F54A7A" w:rsidRPr="0044090D">
        <w:rPr>
          <w:lang w:val="en-GB"/>
        </w:rPr>
        <w:t>jurisdiction</w:t>
      </w:r>
      <w:r w:rsidR="007E6901" w:rsidRPr="0044090D">
        <w:rPr>
          <w:lang w:val="en-GB"/>
        </w:rPr>
        <w:t xml:space="preserve"> for international business.</w:t>
      </w:r>
      <w:r w:rsidR="00F54A7A" w:rsidRPr="0044090D">
        <w:rPr>
          <w:lang w:val="en-GB"/>
        </w:rPr>
        <w:t xml:space="preserve"> Regulation 14(2) requires the Minister to publish every year in the</w:t>
      </w:r>
      <w:r w:rsidRPr="0044090D">
        <w:rPr>
          <w:lang w:val="en-GB"/>
        </w:rPr>
        <w:t xml:space="preserve"> Government</w:t>
      </w:r>
      <w:r w:rsidR="00F54A7A" w:rsidRPr="0044090D">
        <w:rPr>
          <w:lang w:val="en-GB"/>
        </w:rPr>
        <w:t xml:space="preserve"> Gazette the names of all persons who during the previous twelve calendar months were granted Maltese citizenship by registration </w:t>
      </w:r>
      <w:r w:rsidR="006678C8" w:rsidRPr="0044090D">
        <w:rPr>
          <w:lang w:val="en-GB"/>
        </w:rPr>
        <w:t>or naturalis</w:t>
      </w:r>
      <w:r w:rsidR="00F54A7A" w:rsidRPr="0044090D">
        <w:rPr>
          <w:lang w:val="en-GB"/>
        </w:rPr>
        <w:t>ation including those persons who were granted Maltese citizenship under the IIP.</w:t>
      </w:r>
      <w:r w:rsidR="00EA69D5" w:rsidRPr="0044090D">
        <w:rPr>
          <w:lang w:val="en-GB"/>
        </w:rPr>
        <w:t xml:space="preserve"> </w:t>
      </w:r>
    </w:p>
    <w:p w14:paraId="6D5E838A" w14:textId="77777777" w:rsidR="006678C8" w:rsidRPr="0044090D" w:rsidRDefault="006678C8" w:rsidP="00F75B83">
      <w:pPr>
        <w:pStyle w:val="MBT"/>
        <w:rPr>
          <w:lang w:val="en-GB"/>
        </w:rPr>
      </w:pPr>
    </w:p>
    <w:p w14:paraId="5DE93E71" w14:textId="77777777" w:rsidR="00B71F48" w:rsidRPr="0044090D" w:rsidRDefault="00EA69D5" w:rsidP="00F75B83">
      <w:pPr>
        <w:pStyle w:val="MBT"/>
        <w:rPr>
          <w:lang w:val="en-GB"/>
        </w:rPr>
      </w:pPr>
      <w:r w:rsidRPr="0044090D">
        <w:rPr>
          <w:lang w:val="en-GB"/>
        </w:rPr>
        <w:t>It is noteworthy that the published list does not distinguish between citizenship obtained under the IIP and other routes to citizenship.</w:t>
      </w:r>
      <w:r w:rsidR="00B86855" w:rsidRPr="0044090D">
        <w:rPr>
          <w:lang w:val="en-GB"/>
        </w:rPr>
        <w:t xml:space="preserve"> This is also mentioned in Identity Malta’s checklist and guidelines that under the heading ‘[k]</w:t>
      </w:r>
      <w:proofErr w:type="spellStart"/>
      <w:r w:rsidR="00B86855" w:rsidRPr="0044090D">
        <w:rPr>
          <w:lang w:val="en-GB"/>
        </w:rPr>
        <w:t>ey</w:t>
      </w:r>
      <w:proofErr w:type="spellEnd"/>
      <w:r w:rsidR="00B86855" w:rsidRPr="0044090D">
        <w:rPr>
          <w:lang w:val="en-GB"/>
        </w:rPr>
        <w:t xml:space="preserve"> items to note’, state that the names of persons granted citizenship under the IIP are published annually in the Government Gazette ‘together with all the other names of persons granted citizenship</w:t>
      </w:r>
      <w:r w:rsidR="00CD0A80" w:rsidRPr="0044090D">
        <w:rPr>
          <w:lang w:val="en-GB"/>
        </w:rPr>
        <w:t xml:space="preserve"> under other provisions of Malte</w:t>
      </w:r>
      <w:r w:rsidR="00B86855" w:rsidRPr="0044090D">
        <w:rPr>
          <w:lang w:val="en-GB"/>
        </w:rPr>
        <w:t>se citizenship legislation’</w:t>
      </w:r>
      <w:r w:rsidR="00BF72B6">
        <w:rPr>
          <w:lang w:val="en-GB"/>
        </w:rPr>
        <w:t>.</w:t>
      </w:r>
      <w:r w:rsidR="00B86855" w:rsidRPr="0044090D">
        <w:rPr>
          <w:rStyle w:val="FootnoteReference"/>
          <w:lang w:val="en-GB"/>
        </w:rPr>
        <w:footnoteReference w:id="75"/>
      </w:r>
      <w:r w:rsidR="00EE3E3F" w:rsidRPr="0044090D">
        <w:rPr>
          <w:lang w:val="en-GB"/>
        </w:rPr>
        <w:t xml:space="preserve"> </w:t>
      </w:r>
    </w:p>
    <w:p w14:paraId="580D51E3" w14:textId="77777777" w:rsidR="00B71F48" w:rsidRPr="0044090D" w:rsidRDefault="00B71F48" w:rsidP="00F75B83">
      <w:pPr>
        <w:pStyle w:val="MBT"/>
        <w:rPr>
          <w:lang w:val="en-GB"/>
        </w:rPr>
      </w:pPr>
    </w:p>
    <w:p w14:paraId="120B4D54" w14:textId="77777777" w:rsidR="00084852" w:rsidRDefault="00BF72B6" w:rsidP="00F75B83">
      <w:pPr>
        <w:pStyle w:val="MBT"/>
        <w:rPr>
          <w:lang w:val="en-GB"/>
        </w:rPr>
      </w:pPr>
      <w:r>
        <w:rPr>
          <w:lang w:val="en-GB"/>
        </w:rPr>
        <w:t>The</w:t>
      </w:r>
      <w:r w:rsidR="00B71F48" w:rsidRPr="0044090D">
        <w:rPr>
          <w:lang w:val="en-GB"/>
        </w:rPr>
        <w:t xml:space="preserve"> </w:t>
      </w:r>
      <w:r w:rsidR="006678C8" w:rsidRPr="0044090D">
        <w:rPr>
          <w:lang w:val="en-GB"/>
        </w:rPr>
        <w:t>g</w:t>
      </w:r>
      <w:r w:rsidR="00B71F48" w:rsidRPr="0044090D">
        <w:rPr>
          <w:lang w:val="en-GB"/>
        </w:rPr>
        <w:t xml:space="preserve">overnment published the </w:t>
      </w:r>
      <w:r w:rsidR="00B71F48" w:rsidRPr="00CF6F1C">
        <w:rPr>
          <w:b/>
          <w:lang w:val="en-GB"/>
        </w:rPr>
        <w:t>list of persons naturalised as Maltese citizens</w:t>
      </w:r>
      <w:r w:rsidR="00B71F48" w:rsidRPr="0044090D">
        <w:rPr>
          <w:lang w:val="en-GB"/>
        </w:rPr>
        <w:t xml:space="preserve"> between July 20</w:t>
      </w:r>
      <w:r w:rsidR="0016355D" w:rsidRPr="0044090D">
        <w:rPr>
          <w:lang w:val="en-GB"/>
        </w:rPr>
        <w:t>1</w:t>
      </w:r>
      <w:r w:rsidR="00B71F48" w:rsidRPr="0044090D">
        <w:rPr>
          <w:lang w:val="en-GB"/>
        </w:rPr>
        <w:t>3 and December 2014 in the Government Gazette of 31 July 2015</w:t>
      </w:r>
      <w:r>
        <w:rPr>
          <w:lang w:val="en-GB"/>
        </w:rPr>
        <w:t>.</w:t>
      </w:r>
      <w:r w:rsidR="00B71F48" w:rsidRPr="0044090D">
        <w:rPr>
          <w:rStyle w:val="FootnoteReference"/>
          <w:lang w:val="en-GB"/>
        </w:rPr>
        <w:footnoteReference w:id="76"/>
      </w:r>
      <w:r w:rsidR="00B71F48" w:rsidRPr="0044090D">
        <w:rPr>
          <w:lang w:val="en-GB"/>
        </w:rPr>
        <w:t xml:space="preserve"> </w:t>
      </w:r>
      <w:r w:rsidR="00EE3E3F" w:rsidRPr="0044090D">
        <w:rPr>
          <w:lang w:val="en-GB"/>
        </w:rPr>
        <w:t xml:space="preserve">It is noted that in addition to making no distinction </w:t>
      </w:r>
      <w:r w:rsidR="00B71F48" w:rsidRPr="0044090D">
        <w:rPr>
          <w:lang w:val="en-GB"/>
        </w:rPr>
        <w:t>between</w:t>
      </w:r>
      <w:r w:rsidR="00EE3E3F" w:rsidRPr="0044090D">
        <w:rPr>
          <w:lang w:val="en-GB"/>
        </w:rPr>
        <w:t xml:space="preserve"> persons </w:t>
      </w:r>
      <w:r w:rsidR="00B71F48" w:rsidRPr="0044090D">
        <w:rPr>
          <w:lang w:val="en-GB"/>
        </w:rPr>
        <w:t xml:space="preserve">who obtained citizenship under the IIP and persons </w:t>
      </w:r>
      <w:r w:rsidR="00EE3E3F" w:rsidRPr="0044090D">
        <w:rPr>
          <w:lang w:val="en-GB"/>
        </w:rPr>
        <w:t xml:space="preserve">who have been </w:t>
      </w:r>
      <w:r w:rsidR="00B71F48" w:rsidRPr="0044090D">
        <w:rPr>
          <w:lang w:val="en-GB"/>
        </w:rPr>
        <w:t>naturalised</w:t>
      </w:r>
      <w:r w:rsidR="00EE3E3F" w:rsidRPr="0044090D">
        <w:rPr>
          <w:lang w:val="en-GB"/>
        </w:rPr>
        <w:t xml:space="preserve"> for other reasons such as marriage, the list is sorted in alphabetical order by first </w:t>
      </w:r>
      <w:r w:rsidR="00B71F48" w:rsidRPr="0044090D">
        <w:rPr>
          <w:lang w:val="en-GB"/>
        </w:rPr>
        <w:t>name meaning</w:t>
      </w:r>
      <w:r w:rsidR="00EE3E3F" w:rsidRPr="0044090D">
        <w:rPr>
          <w:lang w:val="en-GB"/>
        </w:rPr>
        <w:t xml:space="preserve"> that it is not evident where whole families have obtained citizenship o</w:t>
      </w:r>
      <w:r w:rsidR="00B71F48" w:rsidRPr="0044090D">
        <w:rPr>
          <w:lang w:val="en-GB"/>
        </w:rPr>
        <w:t>r</w:t>
      </w:r>
      <w:r w:rsidR="00EE3E3F" w:rsidRPr="0044090D">
        <w:rPr>
          <w:lang w:val="en-GB"/>
        </w:rPr>
        <w:t xml:space="preserve"> where it is individual applicants</w:t>
      </w:r>
      <w:r>
        <w:rPr>
          <w:lang w:val="en-GB"/>
        </w:rPr>
        <w:t>.</w:t>
      </w:r>
      <w:r w:rsidR="00EE3E3F" w:rsidRPr="00C10E7B">
        <w:rPr>
          <w:rStyle w:val="FootnoteReference"/>
          <w:lang w:val="en-GB"/>
        </w:rPr>
        <w:footnoteReference w:id="77"/>
      </w:r>
      <w:r w:rsidR="00BE4752" w:rsidRPr="00C10E7B">
        <w:rPr>
          <w:lang w:val="en-GB"/>
        </w:rPr>
        <w:t xml:space="preserve"> </w:t>
      </w:r>
      <w:r w:rsidR="00191E35" w:rsidRPr="00C10E7B">
        <w:rPr>
          <w:lang w:val="en-GB"/>
        </w:rPr>
        <w:t xml:space="preserve">It is also worth noting that the IIP scheme as originally envisioned would not have allowed </w:t>
      </w:r>
      <w:r w:rsidR="00191E35" w:rsidRPr="00C10E7B">
        <w:rPr>
          <w:lang w:val="en-GB"/>
        </w:rPr>
        <w:lastRenderedPageBreak/>
        <w:t>for the publication of names in the Government Gazette</w:t>
      </w:r>
      <w:r>
        <w:rPr>
          <w:lang w:val="en-GB"/>
        </w:rPr>
        <w:t>.</w:t>
      </w:r>
      <w:r w:rsidR="00191E35" w:rsidRPr="00C10E7B">
        <w:rPr>
          <w:rStyle w:val="FootnoteReference"/>
          <w:lang w:val="en-GB"/>
        </w:rPr>
        <w:footnoteReference w:id="78"/>
      </w:r>
      <w:r w:rsidR="00191E35">
        <w:rPr>
          <w:lang w:val="en-GB"/>
        </w:rPr>
        <w:t xml:space="preserve"> </w:t>
      </w:r>
    </w:p>
    <w:p w14:paraId="56A25D84" w14:textId="77777777" w:rsidR="00084852" w:rsidRDefault="00084852" w:rsidP="00F75B83">
      <w:pPr>
        <w:pStyle w:val="MBT"/>
        <w:rPr>
          <w:lang w:val="en-GB"/>
        </w:rPr>
      </w:pPr>
    </w:p>
    <w:p w14:paraId="2DEA6E2A" w14:textId="5CB207D0" w:rsidR="00191E35" w:rsidRDefault="00BE4752" w:rsidP="00191E35">
      <w:pPr>
        <w:pStyle w:val="MBT"/>
        <w:rPr>
          <w:lang w:val="en-GB"/>
        </w:rPr>
      </w:pPr>
      <w:r w:rsidRPr="00CF6F1C">
        <w:rPr>
          <w:lang w:val="en-GB"/>
        </w:rPr>
        <w:t xml:space="preserve">Despite the requirement for yearly publication under Regulation 14(2) of LN 47/2014, </w:t>
      </w:r>
      <w:r w:rsidR="00BF72B6" w:rsidRPr="00CF6F1C">
        <w:rPr>
          <w:lang w:val="en-GB"/>
        </w:rPr>
        <w:t>the publication of lists after</w:t>
      </w:r>
      <w:r w:rsidRPr="00CF6F1C">
        <w:rPr>
          <w:lang w:val="en-GB"/>
        </w:rPr>
        <w:t xml:space="preserve"> 31 July 2015</w:t>
      </w:r>
      <w:r w:rsidR="00BF72B6" w:rsidRPr="00CF6F1C">
        <w:rPr>
          <w:lang w:val="en-GB"/>
        </w:rPr>
        <w:t xml:space="preserve"> was delayed.</w:t>
      </w:r>
      <w:r w:rsidR="00F26880" w:rsidRPr="00CF6F1C">
        <w:rPr>
          <w:rStyle w:val="FootnoteReference"/>
          <w:lang w:val="en-GB"/>
        </w:rPr>
        <w:footnoteReference w:id="79"/>
      </w:r>
      <w:r w:rsidRPr="00CF6F1C">
        <w:rPr>
          <w:lang w:val="en-GB"/>
        </w:rPr>
        <w:t xml:space="preserve"> </w:t>
      </w:r>
      <w:r w:rsidR="00675035">
        <w:rPr>
          <w:lang w:val="en-GB"/>
        </w:rPr>
        <w:t>The</w:t>
      </w:r>
      <w:r w:rsidR="00BF72B6" w:rsidRPr="00CF6F1C">
        <w:rPr>
          <w:lang w:val="en-GB"/>
        </w:rPr>
        <w:t xml:space="preserve"> list</w:t>
      </w:r>
      <w:r w:rsidR="00A662B0" w:rsidRPr="00CF6F1C">
        <w:rPr>
          <w:lang w:val="en-GB"/>
        </w:rPr>
        <w:t xml:space="preserve"> covering January to December 2016</w:t>
      </w:r>
      <w:r w:rsidR="00BF72B6" w:rsidRPr="00CF6F1C">
        <w:rPr>
          <w:lang w:val="en-GB"/>
        </w:rPr>
        <w:t xml:space="preserve"> was published</w:t>
      </w:r>
      <w:r w:rsidR="00A662B0" w:rsidRPr="00CF6F1C">
        <w:rPr>
          <w:lang w:val="en-GB"/>
        </w:rPr>
        <w:t xml:space="preserve"> in the Government Gazette of 22 December 2017.</w:t>
      </w:r>
      <w:r w:rsidR="00A662B0" w:rsidRPr="00CF6F1C">
        <w:rPr>
          <w:rStyle w:val="FootnoteReference"/>
          <w:lang w:val="en-GB"/>
        </w:rPr>
        <w:footnoteReference w:id="80"/>
      </w:r>
      <w:r w:rsidR="00BF72B6" w:rsidRPr="00CF6F1C">
        <w:rPr>
          <w:lang w:val="en-GB"/>
        </w:rPr>
        <w:t xml:space="preserve"> The same issue</w:t>
      </w:r>
      <w:r w:rsidR="00A662B0" w:rsidRPr="00CF6F1C">
        <w:rPr>
          <w:lang w:val="en-GB"/>
        </w:rPr>
        <w:t>s</w:t>
      </w:r>
      <w:r w:rsidR="00BF72B6" w:rsidRPr="00CF6F1C">
        <w:rPr>
          <w:lang w:val="en-GB"/>
        </w:rPr>
        <w:t xml:space="preserve"> iden</w:t>
      </w:r>
      <w:r w:rsidR="00CF6F1C">
        <w:rPr>
          <w:lang w:val="en-GB"/>
        </w:rPr>
        <w:t>tified in the previous paragraphs</w:t>
      </w:r>
      <w:r w:rsidR="00BF72B6" w:rsidRPr="00CF6F1C">
        <w:rPr>
          <w:lang w:val="en-GB"/>
        </w:rPr>
        <w:t xml:space="preserve"> with respect to the 2015</w:t>
      </w:r>
      <w:r w:rsidR="00BF72B6">
        <w:rPr>
          <w:lang w:val="en-GB"/>
        </w:rPr>
        <w:t xml:space="preserve"> </w:t>
      </w:r>
      <w:r w:rsidR="00A662B0">
        <w:rPr>
          <w:lang w:val="en-GB"/>
        </w:rPr>
        <w:t xml:space="preserve">list </w:t>
      </w:r>
      <w:r w:rsidR="00BF72B6">
        <w:rPr>
          <w:lang w:val="en-GB"/>
        </w:rPr>
        <w:t xml:space="preserve">remain – the list </w:t>
      </w:r>
      <w:r w:rsidR="00CF6F1C">
        <w:rPr>
          <w:lang w:val="en-GB"/>
        </w:rPr>
        <w:t xml:space="preserve">is sorted in alphabetical order by first name and </w:t>
      </w:r>
      <w:r w:rsidR="00BF72B6">
        <w:rPr>
          <w:lang w:val="en-GB"/>
        </w:rPr>
        <w:t xml:space="preserve">contains the names of 2,182 applicants granted citizenship through naturalisation with those who obtained citizenship </w:t>
      </w:r>
      <w:r w:rsidR="00A662B0">
        <w:rPr>
          <w:lang w:val="en-GB"/>
        </w:rPr>
        <w:t>through</w:t>
      </w:r>
      <w:r w:rsidR="00BF72B6">
        <w:rPr>
          <w:lang w:val="en-GB"/>
        </w:rPr>
        <w:t xml:space="preserve"> the II</w:t>
      </w:r>
      <w:r w:rsidR="00CF6F1C">
        <w:rPr>
          <w:lang w:val="en-GB"/>
        </w:rPr>
        <w:t>P</w:t>
      </w:r>
      <w:r w:rsidR="00BF72B6">
        <w:rPr>
          <w:lang w:val="en-GB"/>
        </w:rPr>
        <w:t xml:space="preserve">. It is reported that the government argues that publishing the names of the new Maltese </w:t>
      </w:r>
      <w:r w:rsidR="00CF6F1C">
        <w:rPr>
          <w:lang w:val="en-GB"/>
        </w:rPr>
        <w:t>citizens</w:t>
      </w:r>
      <w:r w:rsidR="00BF72B6">
        <w:rPr>
          <w:lang w:val="en-GB"/>
        </w:rPr>
        <w:t xml:space="preserve"> would affect the IIP scheme’s success ‘as many of the buyers preferred discretion’.</w:t>
      </w:r>
      <w:r w:rsidR="00BF72B6">
        <w:rPr>
          <w:rStyle w:val="FootnoteReference"/>
          <w:lang w:val="en-GB"/>
        </w:rPr>
        <w:footnoteReference w:id="81"/>
      </w:r>
    </w:p>
    <w:p w14:paraId="1591199A" w14:textId="77777777" w:rsidR="00EA69D5" w:rsidRPr="0044090D" w:rsidRDefault="00EA69D5" w:rsidP="00F75B83">
      <w:pPr>
        <w:pStyle w:val="MBT"/>
        <w:rPr>
          <w:lang w:val="en-GB"/>
        </w:rPr>
      </w:pPr>
    </w:p>
    <w:p w14:paraId="7A8FE256" w14:textId="0D5DD0C9" w:rsidR="00CD6FDD" w:rsidRDefault="00CD6FDD" w:rsidP="00CD6FDD">
      <w:pPr>
        <w:pStyle w:val="MBT"/>
        <w:rPr>
          <w:lang w:val="en-GB"/>
        </w:rPr>
      </w:pPr>
      <w:r w:rsidRPr="00BF72B6">
        <w:rPr>
          <w:lang w:val="en-GB"/>
        </w:rPr>
        <w:t xml:space="preserve">The table below provides </w:t>
      </w:r>
      <w:r w:rsidRPr="00CF6F1C">
        <w:rPr>
          <w:b/>
          <w:lang w:val="en-GB"/>
        </w:rPr>
        <w:t>statistical data</w:t>
      </w:r>
      <w:r w:rsidRPr="00BF72B6">
        <w:rPr>
          <w:lang w:val="en-GB"/>
        </w:rPr>
        <w:t xml:space="preserve"> obtained</w:t>
      </w:r>
      <w:r>
        <w:rPr>
          <w:lang w:val="en-GB"/>
        </w:rPr>
        <w:t xml:space="preserve"> from t</w:t>
      </w:r>
      <w:r w:rsidRPr="00C10E7B">
        <w:rPr>
          <w:lang w:val="en-GB"/>
        </w:rPr>
        <w:t>he Regulator’s Annual Reports</w:t>
      </w:r>
      <w:r>
        <w:rPr>
          <w:lang w:val="en-GB"/>
        </w:rPr>
        <w:t>. It is noted that the statistics in these reports are not provided per calendar</w:t>
      </w:r>
      <w:r w:rsidR="00675035">
        <w:rPr>
          <w:lang w:val="en-GB"/>
        </w:rPr>
        <w:t xml:space="preserve"> year</w:t>
      </w:r>
      <w:r>
        <w:rPr>
          <w:lang w:val="en-GB"/>
        </w:rPr>
        <w:t xml:space="preserve">. They </w:t>
      </w:r>
      <w:r w:rsidR="001C22AD">
        <w:rPr>
          <w:lang w:val="en-GB"/>
        </w:rPr>
        <w:t>only</w:t>
      </w:r>
      <w:r>
        <w:rPr>
          <w:lang w:val="en-GB"/>
        </w:rPr>
        <w:t xml:space="preserve"> contain information on the number of applications for citizenship under the IIP, and not under other provisions for naturalisation. </w:t>
      </w:r>
    </w:p>
    <w:p w14:paraId="7CEB02B0" w14:textId="77777777" w:rsidR="00BE4752" w:rsidRPr="0044090D" w:rsidRDefault="00BE4752" w:rsidP="00BE4752">
      <w:pPr>
        <w:pStyle w:val="MBT"/>
        <w:rPr>
          <w:i/>
          <w:color w:val="FF0000"/>
          <w:lang w:val="en-GB"/>
        </w:rPr>
      </w:pPr>
    </w:p>
    <w:tbl>
      <w:tblPr>
        <w:tblStyle w:val="MTableStyle"/>
        <w:tblW w:w="5120" w:type="pct"/>
        <w:tblLayout w:type="fixed"/>
        <w:tblLook w:val="04A0" w:firstRow="1" w:lastRow="0" w:firstColumn="1" w:lastColumn="0" w:noHBand="0" w:noVBand="1"/>
      </w:tblPr>
      <w:tblGrid>
        <w:gridCol w:w="1073"/>
        <w:gridCol w:w="1243"/>
        <w:gridCol w:w="1520"/>
        <w:gridCol w:w="1520"/>
        <w:gridCol w:w="1380"/>
        <w:gridCol w:w="2486"/>
      </w:tblGrid>
      <w:tr w:rsidR="00DA61D1" w:rsidRPr="00E00301" w14:paraId="5077E6D4" w14:textId="77777777" w:rsidTr="00DA61D1">
        <w:trPr>
          <w:cnfStyle w:val="100000000000" w:firstRow="1" w:lastRow="0" w:firstColumn="0" w:lastColumn="0" w:oddVBand="0" w:evenVBand="0" w:oddHBand="0" w:evenHBand="0" w:firstRowFirstColumn="0" w:firstRowLastColumn="0" w:lastRowFirstColumn="0" w:lastRowLastColumn="0"/>
        </w:trPr>
        <w:tc>
          <w:tcPr>
            <w:tcW w:w="582" w:type="pct"/>
            <w:shd w:val="clear" w:color="auto" w:fill="95B3D7" w:themeFill="accent1" w:themeFillTint="99"/>
          </w:tcPr>
          <w:p w14:paraId="5ED3071B" w14:textId="77777777" w:rsidR="00BE4752" w:rsidRPr="00E00301" w:rsidRDefault="00C10E7B" w:rsidP="00BE4752">
            <w:pPr>
              <w:spacing w:before="0" w:after="0"/>
              <w:jc w:val="both"/>
              <w:rPr>
                <w:rFonts w:ascii="Century Gothic" w:hAnsi="Century Gothic"/>
                <w:b w:val="0"/>
                <w:szCs w:val="18"/>
                <w:lang w:val="en-GB"/>
              </w:rPr>
            </w:pPr>
            <w:r w:rsidRPr="00E00301">
              <w:rPr>
                <w:rFonts w:ascii="Century Gothic" w:hAnsi="Century Gothic"/>
                <w:szCs w:val="18"/>
                <w:lang w:val="en-GB"/>
              </w:rPr>
              <w:t>Period</w:t>
            </w:r>
          </w:p>
        </w:tc>
        <w:tc>
          <w:tcPr>
            <w:tcW w:w="674" w:type="pct"/>
            <w:shd w:val="clear" w:color="auto" w:fill="95B3D7" w:themeFill="accent1" w:themeFillTint="99"/>
          </w:tcPr>
          <w:p w14:paraId="60C489AC"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 xml:space="preserve">Total no. of requests for </w:t>
            </w:r>
            <w:r w:rsidR="003F606C" w:rsidRPr="00E00301">
              <w:rPr>
                <w:rFonts w:ascii="Century Gothic" w:hAnsi="Century Gothic"/>
                <w:szCs w:val="18"/>
                <w:lang w:val="en-GB"/>
              </w:rPr>
              <w:t>citizenship</w:t>
            </w:r>
          </w:p>
        </w:tc>
        <w:tc>
          <w:tcPr>
            <w:tcW w:w="824" w:type="pct"/>
            <w:shd w:val="clear" w:color="auto" w:fill="95B3D7" w:themeFill="accent1" w:themeFillTint="99"/>
          </w:tcPr>
          <w:p w14:paraId="6EE276C7"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requests for citizenship by investors</w:t>
            </w:r>
          </w:p>
        </w:tc>
        <w:tc>
          <w:tcPr>
            <w:tcW w:w="824" w:type="pct"/>
            <w:shd w:val="clear" w:color="auto" w:fill="95B3D7" w:themeFill="accent1" w:themeFillTint="99"/>
          </w:tcPr>
          <w:p w14:paraId="00F3B4B2"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successful applications</w:t>
            </w:r>
          </w:p>
        </w:tc>
        <w:tc>
          <w:tcPr>
            <w:tcW w:w="748" w:type="pct"/>
            <w:shd w:val="clear" w:color="auto" w:fill="95B3D7" w:themeFill="accent1" w:themeFillTint="99"/>
          </w:tcPr>
          <w:p w14:paraId="2067C2A5"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No. of turned down applications</w:t>
            </w:r>
          </w:p>
        </w:tc>
        <w:tc>
          <w:tcPr>
            <w:tcW w:w="1348" w:type="pct"/>
            <w:shd w:val="clear" w:color="auto" w:fill="95B3D7" w:themeFill="accent1" w:themeFillTint="99"/>
          </w:tcPr>
          <w:p w14:paraId="47A2ED56" w14:textId="77777777" w:rsidR="00BE4752" w:rsidRPr="00E00301" w:rsidRDefault="00BE4752" w:rsidP="00BE4752">
            <w:pPr>
              <w:spacing w:before="0" w:after="0"/>
              <w:rPr>
                <w:rFonts w:ascii="Century Gothic" w:hAnsi="Century Gothic"/>
                <w:b w:val="0"/>
                <w:szCs w:val="18"/>
                <w:lang w:val="en-GB"/>
              </w:rPr>
            </w:pPr>
            <w:r w:rsidRPr="00E00301">
              <w:rPr>
                <w:rFonts w:ascii="Century Gothic" w:hAnsi="Century Gothic"/>
                <w:szCs w:val="18"/>
                <w:lang w:val="en-GB"/>
              </w:rPr>
              <w:t>Sources</w:t>
            </w:r>
          </w:p>
        </w:tc>
      </w:tr>
      <w:tr w:rsidR="00DA61D1" w:rsidRPr="00E00301" w14:paraId="5C0F1098" w14:textId="77777777" w:rsidTr="00DA61D1">
        <w:tc>
          <w:tcPr>
            <w:tcW w:w="582" w:type="pct"/>
          </w:tcPr>
          <w:p w14:paraId="22DF2870" w14:textId="77777777" w:rsidR="00D22751" w:rsidRPr="00E00301" w:rsidRDefault="00D22751" w:rsidP="00BE4752">
            <w:pPr>
              <w:spacing w:before="0" w:after="0"/>
              <w:jc w:val="both"/>
              <w:rPr>
                <w:szCs w:val="18"/>
                <w:lang w:val="en-GB"/>
              </w:rPr>
            </w:pPr>
            <w:r w:rsidRPr="00E00301">
              <w:rPr>
                <w:szCs w:val="18"/>
                <w:lang w:val="en-GB"/>
              </w:rPr>
              <w:t>2012</w:t>
            </w:r>
          </w:p>
        </w:tc>
        <w:tc>
          <w:tcPr>
            <w:tcW w:w="674" w:type="pct"/>
          </w:tcPr>
          <w:p w14:paraId="661F06DC" w14:textId="77777777" w:rsidR="00D22751" w:rsidRPr="00E00301" w:rsidRDefault="00D22751" w:rsidP="004671B1">
            <w:pPr>
              <w:spacing w:before="0" w:after="0"/>
              <w:jc w:val="center"/>
              <w:rPr>
                <w:szCs w:val="18"/>
                <w:lang w:val="en-GB"/>
              </w:rPr>
            </w:pPr>
            <w:r w:rsidRPr="00E00301">
              <w:rPr>
                <w:szCs w:val="18"/>
                <w:lang w:val="en-GB"/>
              </w:rPr>
              <w:t>N/A</w:t>
            </w:r>
          </w:p>
        </w:tc>
        <w:tc>
          <w:tcPr>
            <w:tcW w:w="824" w:type="pct"/>
          </w:tcPr>
          <w:p w14:paraId="4F570C46"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597EB7EA" w14:textId="77777777" w:rsidR="00D22751" w:rsidRPr="00E00301" w:rsidRDefault="00D22751" w:rsidP="004671B1">
            <w:pPr>
              <w:spacing w:before="0" w:after="0"/>
              <w:jc w:val="center"/>
              <w:rPr>
                <w:i/>
                <w:szCs w:val="18"/>
                <w:lang w:val="en-GB"/>
              </w:rPr>
            </w:pPr>
            <w:r w:rsidRPr="00E00301">
              <w:rPr>
                <w:szCs w:val="18"/>
                <w:lang w:val="en-GB"/>
              </w:rPr>
              <w:t>N/A</w:t>
            </w:r>
          </w:p>
        </w:tc>
        <w:tc>
          <w:tcPr>
            <w:tcW w:w="748" w:type="pct"/>
          </w:tcPr>
          <w:p w14:paraId="6D6267B8" w14:textId="77777777" w:rsidR="00D22751" w:rsidRPr="00E00301" w:rsidRDefault="00D22751" w:rsidP="004671B1">
            <w:pPr>
              <w:spacing w:before="0" w:after="0"/>
              <w:jc w:val="center"/>
              <w:rPr>
                <w:i/>
                <w:szCs w:val="18"/>
                <w:lang w:val="en-GB"/>
              </w:rPr>
            </w:pPr>
            <w:r w:rsidRPr="00E00301">
              <w:rPr>
                <w:szCs w:val="18"/>
                <w:lang w:val="en-GB"/>
              </w:rPr>
              <w:t>N/A</w:t>
            </w:r>
          </w:p>
        </w:tc>
        <w:tc>
          <w:tcPr>
            <w:tcW w:w="1348" w:type="pct"/>
          </w:tcPr>
          <w:p w14:paraId="7331E445" w14:textId="77777777" w:rsidR="00D22751" w:rsidRPr="00E00301" w:rsidRDefault="00D22751" w:rsidP="00CD6FDD">
            <w:pPr>
              <w:spacing w:before="0" w:after="0"/>
              <w:jc w:val="center"/>
              <w:rPr>
                <w:i/>
                <w:szCs w:val="18"/>
                <w:lang w:val="en-GB"/>
              </w:rPr>
            </w:pPr>
            <w:r w:rsidRPr="00E00301">
              <w:rPr>
                <w:szCs w:val="18"/>
                <w:lang w:val="en-GB"/>
              </w:rPr>
              <w:t>N/A</w:t>
            </w:r>
            <w:r w:rsidR="00CD6FDD" w:rsidRPr="00E00301">
              <w:rPr>
                <w:szCs w:val="18"/>
                <w:lang w:val="en-GB"/>
              </w:rPr>
              <w:t xml:space="preserve"> </w:t>
            </w:r>
          </w:p>
        </w:tc>
      </w:tr>
      <w:tr w:rsidR="00DA61D1" w:rsidRPr="00E00301" w14:paraId="5E514C98" w14:textId="77777777" w:rsidTr="00DA61D1">
        <w:tc>
          <w:tcPr>
            <w:tcW w:w="582" w:type="pct"/>
          </w:tcPr>
          <w:p w14:paraId="48FC75DA" w14:textId="77777777" w:rsidR="00D22751" w:rsidRPr="00E00301" w:rsidRDefault="00D22751" w:rsidP="00BE4752">
            <w:pPr>
              <w:spacing w:before="0" w:after="0"/>
              <w:jc w:val="both"/>
              <w:rPr>
                <w:szCs w:val="18"/>
                <w:lang w:val="en-GB"/>
              </w:rPr>
            </w:pPr>
            <w:r w:rsidRPr="00E00301">
              <w:rPr>
                <w:szCs w:val="18"/>
                <w:lang w:val="en-GB"/>
              </w:rPr>
              <w:t>2013</w:t>
            </w:r>
          </w:p>
        </w:tc>
        <w:tc>
          <w:tcPr>
            <w:tcW w:w="674" w:type="pct"/>
          </w:tcPr>
          <w:p w14:paraId="184215D9"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3A4CDDA7" w14:textId="77777777" w:rsidR="00D22751" w:rsidRPr="00E00301" w:rsidRDefault="00D22751" w:rsidP="004671B1">
            <w:pPr>
              <w:spacing w:before="0" w:after="0"/>
              <w:jc w:val="center"/>
              <w:rPr>
                <w:i/>
                <w:szCs w:val="18"/>
                <w:lang w:val="en-GB"/>
              </w:rPr>
            </w:pPr>
            <w:r w:rsidRPr="00E00301">
              <w:rPr>
                <w:szCs w:val="18"/>
                <w:lang w:val="en-GB"/>
              </w:rPr>
              <w:t>N/A</w:t>
            </w:r>
          </w:p>
        </w:tc>
        <w:tc>
          <w:tcPr>
            <w:tcW w:w="824" w:type="pct"/>
          </w:tcPr>
          <w:p w14:paraId="31E035DF" w14:textId="77777777" w:rsidR="00D22751" w:rsidRPr="00E00301" w:rsidRDefault="00D22751" w:rsidP="004671B1">
            <w:pPr>
              <w:spacing w:before="0" w:after="0"/>
              <w:jc w:val="center"/>
              <w:rPr>
                <w:i/>
                <w:szCs w:val="18"/>
                <w:lang w:val="en-GB"/>
              </w:rPr>
            </w:pPr>
            <w:r w:rsidRPr="00E00301">
              <w:rPr>
                <w:szCs w:val="18"/>
                <w:lang w:val="en-GB"/>
              </w:rPr>
              <w:t>N/A</w:t>
            </w:r>
          </w:p>
        </w:tc>
        <w:tc>
          <w:tcPr>
            <w:tcW w:w="748" w:type="pct"/>
          </w:tcPr>
          <w:p w14:paraId="017F7C90" w14:textId="77777777" w:rsidR="00D22751" w:rsidRPr="00E00301" w:rsidRDefault="00D22751" w:rsidP="004671B1">
            <w:pPr>
              <w:spacing w:before="0" w:after="0"/>
              <w:jc w:val="center"/>
              <w:rPr>
                <w:i/>
                <w:szCs w:val="18"/>
                <w:lang w:val="en-GB"/>
              </w:rPr>
            </w:pPr>
            <w:r w:rsidRPr="00E00301">
              <w:rPr>
                <w:szCs w:val="18"/>
                <w:lang w:val="en-GB"/>
              </w:rPr>
              <w:t>N/A</w:t>
            </w:r>
          </w:p>
        </w:tc>
        <w:tc>
          <w:tcPr>
            <w:tcW w:w="1348" w:type="pct"/>
          </w:tcPr>
          <w:p w14:paraId="12DA5DE8" w14:textId="77777777" w:rsidR="00D22751" w:rsidRPr="00E00301" w:rsidRDefault="00D22751" w:rsidP="00D22751">
            <w:pPr>
              <w:spacing w:before="0" w:after="0"/>
              <w:jc w:val="center"/>
              <w:rPr>
                <w:i/>
                <w:szCs w:val="18"/>
                <w:lang w:val="en-GB"/>
              </w:rPr>
            </w:pPr>
            <w:r w:rsidRPr="00E00301">
              <w:rPr>
                <w:szCs w:val="18"/>
                <w:lang w:val="en-GB"/>
              </w:rPr>
              <w:t>N/A</w:t>
            </w:r>
            <w:r w:rsidR="00CD6FDD" w:rsidRPr="00E00301">
              <w:rPr>
                <w:szCs w:val="18"/>
                <w:lang w:val="en-GB"/>
              </w:rPr>
              <w:t xml:space="preserve"> </w:t>
            </w:r>
          </w:p>
        </w:tc>
      </w:tr>
      <w:tr w:rsidR="00DA61D1" w:rsidRPr="00340E44" w14:paraId="2642DA2B" w14:textId="77777777" w:rsidTr="00DA61D1">
        <w:tc>
          <w:tcPr>
            <w:tcW w:w="582" w:type="pct"/>
          </w:tcPr>
          <w:p w14:paraId="6FF45B37" w14:textId="77777777" w:rsidR="00BE4752" w:rsidRPr="00E00301" w:rsidRDefault="00EA014B" w:rsidP="00DA61D1">
            <w:pPr>
              <w:spacing w:before="0" w:after="0"/>
              <w:jc w:val="both"/>
              <w:rPr>
                <w:szCs w:val="18"/>
                <w:lang w:val="en-GB"/>
              </w:rPr>
            </w:pPr>
            <w:r w:rsidRPr="00E00301">
              <w:rPr>
                <w:szCs w:val="18"/>
                <w:lang w:val="en-GB"/>
              </w:rPr>
              <w:t xml:space="preserve">Feb </w:t>
            </w:r>
            <w:r w:rsidR="004671B1" w:rsidRPr="00E00301">
              <w:rPr>
                <w:szCs w:val="18"/>
                <w:lang w:val="en-GB"/>
              </w:rPr>
              <w:t>2014</w:t>
            </w:r>
            <w:r w:rsidR="00DA61D1" w:rsidRPr="00E00301">
              <w:rPr>
                <w:szCs w:val="18"/>
                <w:lang w:val="en-GB"/>
              </w:rPr>
              <w:t xml:space="preserve"> -</w:t>
            </w:r>
            <w:r w:rsidRPr="00E00301">
              <w:rPr>
                <w:szCs w:val="18"/>
                <w:lang w:val="en-GB"/>
              </w:rPr>
              <w:t xml:space="preserve"> Jun </w:t>
            </w:r>
            <w:r w:rsidR="00BE4752" w:rsidRPr="00E00301">
              <w:rPr>
                <w:szCs w:val="18"/>
                <w:lang w:val="en-GB"/>
              </w:rPr>
              <w:t>2014</w:t>
            </w:r>
          </w:p>
        </w:tc>
        <w:tc>
          <w:tcPr>
            <w:tcW w:w="674" w:type="pct"/>
          </w:tcPr>
          <w:p w14:paraId="0C5C3609" w14:textId="77777777" w:rsidR="00BE4752" w:rsidRPr="00E00301" w:rsidRDefault="00CB7169" w:rsidP="004671B1">
            <w:pPr>
              <w:spacing w:before="0" w:after="0"/>
              <w:jc w:val="center"/>
              <w:rPr>
                <w:szCs w:val="18"/>
                <w:lang w:val="en-GB"/>
              </w:rPr>
            </w:pPr>
            <w:r w:rsidRPr="00E00301">
              <w:rPr>
                <w:szCs w:val="18"/>
                <w:lang w:val="en-GB"/>
              </w:rPr>
              <w:t>N/A</w:t>
            </w:r>
          </w:p>
        </w:tc>
        <w:tc>
          <w:tcPr>
            <w:tcW w:w="824" w:type="pct"/>
          </w:tcPr>
          <w:p w14:paraId="48919DDB" w14:textId="77777777" w:rsidR="00BE4752" w:rsidRPr="00E00301" w:rsidRDefault="00EA014B" w:rsidP="004671B1">
            <w:pPr>
              <w:spacing w:before="0" w:after="0"/>
              <w:jc w:val="center"/>
              <w:rPr>
                <w:szCs w:val="18"/>
                <w:lang w:val="en-GB"/>
              </w:rPr>
            </w:pPr>
            <w:r w:rsidRPr="00E00301">
              <w:rPr>
                <w:szCs w:val="18"/>
                <w:lang w:val="en-GB"/>
              </w:rPr>
              <w:t>173</w:t>
            </w:r>
          </w:p>
        </w:tc>
        <w:tc>
          <w:tcPr>
            <w:tcW w:w="824" w:type="pct"/>
          </w:tcPr>
          <w:p w14:paraId="1561C94E" w14:textId="77777777" w:rsidR="00BE4752" w:rsidRPr="00E00301" w:rsidRDefault="004671B1" w:rsidP="004671B1">
            <w:pPr>
              <w:spacing w:before="0" w:after="0"/>
              <w:jc w:val="center"/>
              <w:rPr>
                <w:szCs w:val="18"/>
                <w:lang w:val="en-GB"/>
              </w:rPr>
            </w:pPr>
            <w:r w:rsidRPr="00E00301">
              <w:rPr>
                <w:szCs w:val="18"/>
                <w:lang w:val="en-GB"/>
              </w:rPr>
              <w:t>0</w:t>
            </w:r>
          </w:p>
        </w:tc>
        <w:tc>
          <w:tcPr>
            <w:tcW w:w="748" w:type="pct"/>
          </w:tcPr>
          <w:p w14:paraId="63747AA5" w14:textId="77777777" w:rsidR="00BE4752" w:rsidRPr="00E00301" w:rsidRDefault="004671B1" w:rsidP="004671B1">
            <w:pPr>
              <w:spacing w:before="0" w:after="0"/>
              <w:jc w:val="center"/>
              <w:rPr>
                <w:szCs w:val="18"/>
                <w:lang w:val="en-GB"/>
              </w:rPr>
            </w:pPr>
            <w:r w:rsidRPr="00E00301">
              <w:rPr>
                <w:szCs w:val="18"/>
                <w:lang w:val="en-GB"/>
              </w:rPr>
              <w:t>0</w:t>
            </w:r>
          </w:p>
        </w:tc>
        <w:tc>
          <w:tcPr>
            <w:tcW w:w="1348" w:type="pct"/>
          </w:tcPr>
          <w:p w14:paraId="0691E675"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https://oriip.gov.mt/en/Documents/Reports/Annual%20Report%202014.pdf</w:t>
            </w:r>
          </w:p>
        </w:tc>
      </w:tr>
      <w:tr w:rsidR="00DA61D1" w:rsidRPr="00340E44" w14:paraId="2619F2C2" w14:textId="77777777" w:rsidTr="00DA61D1">
        <w:tc>
          <w:tcPr>
            <w:tcW w:w="582" w:type="pct"/>
          </w:tcPr>
          <w:p w14:paraId="6DB857EB" w14:textId="77777777" w:rsidR="00BE4752" w:rsidRPr="00E00301" w:rsidRDefault="00EA014B" w:rsidP="00A07218">
            <w:pPr>
              <w:spacing w:before="0" w:after="0"/>
              <w:jc w:val="both"/>
              <w:rPr>
                <w:szCs w:val="18"/>
                <w:lang w:val="en-GB"/>
              </w:rPr>
            </w:pPr>
            <w:r w:rsidRPr="00E00301">
              <w:rPr>
                <w:szCs w:val="18"/>
                <w:lang w:val="en-GB"/>
              </w:rPr>
              <w:t>Ju</w:t>
            </w:r>
            <w:r w:rsidR="00A07218" w:rsidRPr="00E00301">
              <w:rPr>
                <w:szCs w:val="18"/>
                <w:lang w:val="en-GB"/>
              </w:rPr>
              <w:t>l</w:t>
            </w:r>
            <w:r w:rsidRPr="00E00301">
              <w:rPr>
                <w:szCs w:val="18"/>
                <w:lang w:val="en-GB"/>
              </w:rPr>
              <w:t xml:space="preserve"> </w:t>
            </w:r>
            <w:r w:rsidR="004671B1" w:rsidRPr="00E00301">
              <w:rPr>
                <w:szCs w:val="18"/>
                <w:lang w:val="en-GB"/>
              </w:rPr>
              <w:t>2014</w:t>
            </w:r>
            <w:r w:rsidR="00DA61D1" w:rsidRPr="00E00301">
              <w:rPr>
                <w:szCs w:val="18"/>
                <w:lang w:val="en-GB"/>
              </w:rPr>
              <w:t xml:space="preserve"> </w:t>
            </w:r>
            <w:r w:rsidRPr="00E00301">
              <w:rPr>
                <w:szCs w:val="18"/>
                <w:lang w:val="en-GB"/>
              </w:rPr>
              <w:t xml:space="preserve">– Jun </w:t>
            </w:r>
            <w:r w:rsidR="00BE4752" w:rsidRPr="00E00301">
              <w:rPr>
                <w:szCs w:val="18"/>
                <w:lang w:val="en-GB"/>
              </w:rPr>
              <w:t>2015</w:t>
            </w:r>
          </w:p>
        </w:tc>
        <w:tc>
          <w:tcPr>
            <w:tcW w:w="674" w:type="pct"/>
          </w:tcPr>
          <w:p w14:paraId="5411CA55" w14:textId="77777777" w:rsidR="00BE4752" w:rsidRPr="00E00301" w:rsidRDefault="004671B1" w:rsidP="004671B1">
            <w:pPr>
              <w:spacing w:before="0" w:after="0"/>
              <w:jc w:val="center"/>
              <w:rPr>
                <w:szCs w:val="18"/>
                <w:lang w:val="en-GB"/>
              </w:rPr>
            </w:pPr>
            <w:r w:rsidRPr="00E00301">
              <w:rPr>
                <w:szCs w:val="18"/>
                <w:lang w:val="en-GB"/>
              </w:rPr>
              <w:t>N/A</w:t>
            </w:r>
          </w:p>
        </w:tc>
        <w:tc>
          <w:tcPr>
            <w:tcW w:w="824" w:type="pct"/>
          </w:tcPr>
          <w:p w14:paraId="498BF160" w14:textId="77777777" w:rsidR="00BE4752" w:rsidRPr="00E00301" w:rsidRDefault="004671B1" w:rsidP="004671B1">
            <w:pPr>
              <w:spacing w:before="0" w:after="0"/>
              <w:jc w:val="center"/>
              <w:rPr>
                <w:szCs w:val="18"/>
                <w:lang w:val="en-GB"/>
              </w:rPr>
            </w:pPr>
            <w:r w:rsidRPr="00E00301">
              <w:rPr>
                <w:szCs w:val="18"/>
                <w:lang w:val="en-GB"/>
              </w:rPr>
              <w:t>245</w:t>
            </w:r>
          </w:p>
        </w:tc>
        <w:tc>
          <w:tcPr>
            <w:tcW w:w="824" w:type="pct"/>
          </w:tcPr>
          <w:p w14:paraId="18B7C931" w14:textId="77777777" w:rsidR="00BE4752" w:rsidRPr="00E00301" w:rsidRDefault="00432DAB" w:rsidP="004671B1">
            <w:pPr>
              <w:spacing w:before="0" w:after="0"/>
              <w:jc w:val="center"/>
              <w:rPr>
                <w:szCs w:val="18"/>
                <w:lang w:val="en-GB"/>
              </w:rPr>
            </w:pPr>
            <w:r w:rsidRPr="00E00301">
              <w:rPr>
                <w:szCs w:val="18"/>
                <w:lang w:val="en-GB"/>
              </w:rPr>
              <w:t xml:space="preserve">75 </w:t>
            </w:r>
          </w:p>
        </w:tc>
        <w:tc>
          <w:tcPr>
            <w:tcW w:w="748" w:type="pct"/>
          </w:tcPr>
          <w:p w14:paraId="5DAE240E" w14:textId="77777777" w:rsidR="00BE4752" w:rsidRPr="00E00301" w:rsidRDefault="004671B1" w:rsidP="004671B1">
            <w:pPr>
              <w:spacing w:before="0" w:after="0"/>
              <w:jc w:val="center"/>
              <w:rPr>
                <w:szCs w:val="18"/>
                <w:lang w:val="en-GB"/>
              </w:rPr>
            </w:pPr>
            <w:r w:rsidRPr="00E00301">
              <w:rPr>
                <w:szCs w:val="18"/>
                <w:lang w:val="en-GB"/>
              </w:rPr>
              <w:t>11</w:t>
            </w:r>
          </w:p>
        </w:tc>
        <w:tc>
          <w:tcPr>
            <w:tcW w:w="1348" w:type="pct"/>
          </w:tcPr>
          <w:p w14:paraId="7CAA2352"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https://oriip.gov.mt/en/Documents/Reports/Annual%20Report%202015.pdf</w:t>
            </w:r>
          </w:p>
        </w:tc>
      </w:tr>
      <w:tr w:rsidR="00DA61D1" w:rsidRPr="00340E44" w14:paraId="72D30D01" w14:textId="77777777" w:rsidTr="00DA61D1">
        <w:tc>
          <w:tcPr>
            <w:tcW w:w="582" w:type="pct"/>
          </w:tcPr>
          <w:p w14:paraId="4C82BA97" w14:textId="77777777" w:rsidR="00BE4752" w:rsidRPr="00E00301" w:rsidRDefault="00EA014B" w:rsidP="00BE4752">
            <w:pPr>
              <w:spacing w:before="0" w:after="0"/>
              <w:jc w:val="both"/>
              <w:rPr>
                <w:szCs w:val="18"/>
                <w:lang w:val="en-GB"/>
              </w:rPr>
            </w:pPr>
            <w:r w:rsidRPr="00E00301">
              <w:rPr>
                <w:szCs w:val="18"/>
                <w:lang w:val="en-GB"/>
              </w:rPr>
              <w:t>Ju</w:t>
            </w:r>
            <w:r w:rsidR="00A07218" w:rsidRPr="00E00301">
              <w:rPr>
                <w:szCs w:val="18"/>
                <w:lang w:val="en-GB"/>
              </w:rPr>
              <w:t>l</w:t>
            </w:r>
            <w:r w:rsidRPr="00E00301">
              <w:rPr>
                <w:szCs w:val="18"/>
                <w:lang w:val="en-GB"/>
              </w:rPr>
              <w:t xml:space="preserve"> </w:t>
            </w:r>
            <w:r w:rsidR="004671B1" w:rsidRPr="00E00301">
              <w:rPr>
                <w:szCs w:val="18"/>
                <w:lang w:val="en-GB"/>
              </w:rPr>
              <w:t>2015</w:t>
            </w:r>
            <w:r w:rsidR="00DA61D1" w:rsidRPr="00E00301">
              <w:rPr>
                <w:szCs w:val="18"/>
                <w:lang w:val="en-GB"/>
              </w:rPr>
              <w:t xml:space="preserve"> </w:t>
            </w:r>
            <w:r w:rsidRPr="00E00301">
              <w:rPr>
                <w:szCs w:val="18"/>
                <w:lang w:val="en-GB"/>
              </w:rPr>
              <w:t xml:space="preserve">– Jun </w:t>
            </w:r>
            <w:r w:rsidR="00BE4752" w:rsidRPr="00E00301">
              <w:rPr>
                <w:szCs w:val="18"/>
                <w:lang w:val="en-GB"/>
              </w:rPr>
              <w:t>2016</w:t>
            </w:r>
          </w:p>
        </w:tc>
        <w:tc>
          <w:tcPr>
            <w:tcW w:w="674" w:type="pct"/>
          </w:tcPr>
          <w:p w14:paraId="4E3D22F3" w14:textId="77777777" w:rsidR="00BE4752" w:rsidRPr="00E00301" w:rsidRDefault="004671B1" w:rsidP="004671B1">
            <w:pPr>
              <w:spacing w:before="0" w:after="0"/>
              <w:jc w:val="center"/>
              <w:rPr>
                <w:szCs w:val="18"/>
                <w:lang w:val="en-GB"/>
              </w:rPr>
            </w:pPr>
            <w:r w:rsidRPr="00E00301">
              <w:rPr>
                <w:szCs w:val="18"/>
                <w:lang w:val="en-GB"/>
              </w:rPr>
              <w:t>N/A</w:t>
            </w:r>
          </w:p>
        </w:tc>
        <w:tc>
          <w:tcPr>
            <w:tcW w:w="824" w:type="pct"/>
          </w:tcPr>
          <w:p w14:paraId="1A7293EE" w14:textId="77777777" w:rsidR="00BE4752" w:rsidRPr="00E00301" w:rsidRDefault="00F76DBC" w:rsidP="004671B1">
            <w:pPr>
              <w:spacing w:before="0" w:after="0"/>
              <w:jc w:val="center"/>
              <w:rPr>
                <w:szCs w:val="18"/>
                <w:lang w:val="en-GB"/>
              </w:rPr>
            </w:pPr>
            <w:r w:rsidRPr="00E00301">
              <w:rPr>
                <w:szCs w:val="18"/>
                <w:lang w:val="en-GB"/>
              </w:rPr>
              <w:t>450</w:t>
            </w:r>
          </w:p>
        </w:tc>
        <w:tc>
          <w:tcPr>
            <w:tcW w:w="824" w:type="pct"/>
          </w:tcPr>
          <w:p w14:paraId="38A1C829" w14:textId="77777777" w:rsidR="00BE4752" w:rsidRPr="00E00301" w:rsidRDefault="00432DAB" w:rsidP="004671B1">
            <w:pPr>
              <w:spacing w:before="0" w:after="0"/>
              <w:jc w:val="center"/>
              <w:rPr>
                <w:szCs w:val="18"/>
                <w:lang w:val="en-GB"/>
              </w:rPr>
            </w:pPr>
            <w:r w:rsidRPr="00E00301">
              <w:rPr>
                <w:szCs w:val="18"/>
                <w:lang w:val="en-GB"/>
              </w:rPr>
              <w:t>241</w:t>
            </w:r>
          </w:p>
        </w:tc>
        <w:tc>
          <w:tcPr>
            <w:tcW w:w="748" w:type="pct"/>
          </w:tcPr>
          <w:p w14:paraId="3188974D" w14:textId="77777777" w:rsidR="00BE4752" w:rsidRPr="00E00301" w:rsidRDefault="00F76DBC" w:rsidP="004671B1">
            <w:pPr>
              <w:spacing w:before="0" w:after="0"/>
              <w:jc w:val="center"/>
              <w:rPr>
                <w:szCs w:val="18"/>
                <w:lang w:val="en-GB"/>
              </w:rPr>
            </w:pPr>
            <w:r w:rsidRPr="00E00301">
              <w:rPr>
                <w:szCs w:val="18"/>
                <w:lang w:val="en-GB"/>
              </w:rPr>
              <w:t>52</w:t>
            </w:r>
          </w:p>
        </w:tc>
        <w:tc>
          <w:tcPr>
            <w:tcW w:w="1348" w:type="pct"/>
          </w:tcPr>
          <w:p w14:paraId="6021269C" w14:textId="77777777" w:rsidR="00BE4752" w:rsidRPr="00E00301" w:rsidRDefault="00C10E7B" w:rsidP="00BE4752">
            <w:pPr>
              <w:spacing w:before="0" w:after="0"/>
              <w:jc w:val="both"/>
              <w:rPr>
                <w:i/>
                <w:szCs w:val="18"/>
                <w:lang w:val="en-GB"/>
              </w:rPr>
            </w:pPr>
            <w:r w:rsidRPr="00E00301">
              <w:rPr>
                <w:i/>
                <w:szCs w:val="18"/>
                <w:lang w:val="en-GB"/>
              </w:rPr>
              <w:t>https://oriip.gov.mt/en/Documents/Reports/Annual%20Report%202016.pdf</w:t>
            </w:r>
          </w:p>
        </w:tc>
      </w:tr>
      <w:tr w:rsidR="00DA61D1" w:rsidRPr="00340E44" w14:paraId="49D95A5A" w14:textId="77777777" w:rsidTr="00DA61D1">
        <w:tc>
          <w:tcPr>
            <w:tcW w:w="582" w:type="pct"/>
          </w:tcPr>
          <w:p w14:paraId="25A6D381" w14:textId="77777777" w:rsidR="00BE4752" w:rsidRPr="00E00301" w:rsidRDefault="00FE7717" w:rsidP="00FE7717">
            <w:pPr>
              <w:spacing w:before="0" w:after="0"/>
              <w:jc w:val="both"/>
              <w:rPr>
                <w:szCs w:val="18"/>
                <w:lang w:val="en-GB"/>
              </w:rPr>
            </w:pPr>
            <w:r w:rsidRPr="00E00301">
              <w:rPr>
                <w:szCs w:val="18"/>
                <w:lang w:val="en-GB"/>
              </w:rPr>
              <w:t xml:space="preserve">Jul 2016 –Jun </w:t>
            </w:r>
            <w:r w:rsidR="00BE4752" w:rsidRPr="00E00301">
              <w:rPr>
                <w:szCs w:val="18"/>
                <w:lang w:val="en-GB"/>
              </w:rPr>
              <w:t>2017</w:t>
            </w:r>
          </w:p>
        </w:tc>
        <w:tc>
          <w:tcPr>
            <w:tcW w:w="674" w:type="pct"/>
          </w:tcPr>
          <w:p w14:paraId="0C0CC453" w14:textId="77777777" w:rsidR="00BE4752" w:rsidRPr="00E00301" w:rsidRDefault="00C10E7B" w:rsidP="004671B1">
            <w:pPr>
              <w:spacing w:before="0" w:after="0"/>
              <w:jc w:val="center"/>
              <w:rPr>
                <w:i/>
                <w:szCs w:val="18"/>
                <w:lang w:val="en-GB"/>
              </w:rPr>
            </w:pPr>
            <w:r w:rsidRPr="00E00301">
              <w:rPr>
                <w:szCs w:val="18"/>
                <w:lang w:val="en-GB"/>
              </w:rPr>
              <w:t>N/A</w:t>
            </w:r>
          </w:p>
        </w:tc>
        <w:tc>
          <w:tcPr>
            <w:tcW w:w="824" w:type="pct"/>
          </w:tcPr>
          <w:p w14:paraId="60D44A10" w14:textId="77777777" w:rsidR="00BE4752" w:rsidRPr="00E00301" w:rsidRDefault="00C36073" w:rsidP="004671B1">
            <w:pPr>
              <w:spacing w:before="0" w:after="0"/>
              <w:jc w:val="center"/>
              <w:rPr>
                <w:i/>
                <w:szCs w:val="18"/>
                <w:lang w:val="en-GB"/>
              </w:rPr>
            </w:pPr>
            <w:r w:rsidRPr="00E00301">
              <w:rPr>
                <w:szCs w:val="18"/>
                <w:lang w:val="en-GB"/>
              </w:rPr>
              <w:t>377</w:t>
            </w:r>
          </w:p>
        </w:tc>
        <w:tc>
          <w:tcPr>
            <w:tcW w:w="824" w:type="pct"/>
          </w:tcPr>
          <w:p w14:paraId="4B2A4491" w14:textId="77777777" w:rsidR="00BE4752" w:rsidRPr="00E00301" w:rsidRDefault="00BA6B76" w:rsidP="004671B1">
            <w:pPr>
              <w:spacing w:before="0" w:after="0"/>
              <w:jc w:val="center"/>
              <w:rPr>
                <w:szCs w:val="18"/>
                <w:lang w:val="en-GB"/>
              </w:rPr>
            </w:pPr>
            <w:r w:rsidRPr="00E00301">
              <w:rPr>
                <w:szCs w:val="18"/>
                <w:lang w:val="en-GB"/>
              </w:rPr>
              <w:t>422</w:t>
            </w:r>
          </w:p>
        </w:tc>
        <w:tc>
          <w:tcPr>
            <w:tcW w:w="748" w:type="pct"/>
          </w:tcPr>
          <w:p w14:paraId="2F955913" w14:textId="77777777" w:rsidR="00BE4752" w:rsidRPr="00E00301" w:rsidRDefault="00BA6B76" w:rsidP="004671B1">
            <w:pPr>
              <w:spacing w:before="0" w:after="0"/>
              <w:jc w:val="center"/>
              <w:rPr>
                <w:i/>
                <w:szCs w:val="18"/>
                <w:lang w:val="en-GB"/>
              </w:rPr>
            </w:pPr>
            <w:r w:rsidRPr="00E00301">
              <w:rPr>
                <w:szCs w:val="18"/>
                <w:lang w:val="en-GB"/>
              </w:rPr>
              <w:t>83</w:t>
            </w:r>
          </w:p>
        </w:tc>
        <w:tc>
          <w:tcPr>
            <w:tcW w:w="1348" w:type="pct"/>
          </w:tcPr>
          <w:p w14:paraId="0F87050C" w14:textId="77777777" w:rsidR="00BE4752" w:rsidRPr="00E00301" w:rsidRDefault="00982657" w:rsidP="00BE4752">
            <w:pPr>
              <w:spacing w:before="0" w:after="0"/>
              <w:jc w:val="both"/>
              <w:rPr>
                <w:i/>
                <w:szCs w:val="18"/>
                <w:lang w:val="en-GB"/>
              </w:rPr>
            </w:pPr>
            <w:r w:rsidRPr="00E00301">
              <w:rPr>
                <w:i/>
                <w:szCs w:val="18"/>
                <w:lang w:val="en-GB"/>
              </w:rPr>
              <w:t>https://oriip.gov.mt/en/Documents/Reports/Annual%20Report%202017.pdf</w:t>
            </w:r>
          </w:p>
        </w:tc>
      </w:tr>
    </w:tbl>
    <w:p w14:paraId="326C02FE" w14:textId="77777777" w:rsidR="004671B1" w:rsidRDefault="004671B1" w:rsidP="004671B1">
      <w:pPr>
        <w:pStyle w:val="MBT"/>
        <w:rPr>
          <w:lang w:val="en-GB"/>
        </w:rPr>
      </w:pPr>
    </w:p>
    <w:p w14:paraId="74BB8B02" w14:textId="77777777" w:rsidR="00042C63" w:rsidRDefault="00C10E7B" w:rsidP="004671B1">
      <w:pPr>
        <w:pStyle w:val="MBT"/>
        <w:rPr>
          <w:lang w:val="en-GB"/>
        </w:rPr>
      </w:pPr>
      <w:r w:rsidRPr="00C10E7B">
        <w:rPr>
          <w:lang w:val="en-GB"/>
        </w:rPr>
        <w:t xml:space="preserve">The data in the table above are based on the </w:t>
      </w:r>
      <w:r w:rsidR="001B1591">
        <w:rPr>
          <w:lang w:val="en-GB"/>
        </w:rPr>
        <w:t>four</w:t>
      </w:r>
      <w:r w:rsidRPr="00C10E7B">
        <w:rPr>
          <w:lang w:val="en-GB"/>
        </w:rPr>
        <w:t xml:space="preserve"> Annual Reports of the </w:t>
      </w:r>
      <w:proofErr w:type="spellStart"/>
      <w:r w:rsidRPr="00C10E7B">
        <w:rPr>
          <w:lang w:val="en-GB"/>
        </w:rPr>
        <w:t>ORiip</w:t>
      </w:r>
      <w:proofErr w:type="spellEnd"/>
      <w:r w:rsidRPr="00C10E7B">
        <w:rPr>
          <w:lang w:val="en-GB"/>
        </w:rPr>
        <w:t xml:space="preserve"> covering the period from the inception of the programme in February 2014 until </w:t>
      </w:r>
      <w:r w:rsidR="001B1591">
        <w:rPr>
          <w:lang w:val="en-GB"/>
        </w:rPr>
        <w:t>31 June</w:t>
      </w:r>
      <w:r w:rsidRPr="00C10E7B">
        <w:rPr>
          <w:lang w:val="en-GB"/>
        </w:rPr>
        <w:t xml:space="preserve"> 201</w:t>
      </w:r>
      <w:r w:rsidR="001B1591">
        <w:rPr>
          <w:lang w:val="en-GB"/>
        </w:rPr>
        <w:t>7</w:t>
      </w:r>
      <w:r>
        <w:rPr>
          <w:lang w:val="en-GB"/>
        </w:rPr>
        <w:t xml:space="preserve">. </w:t>
      </w:r>
      <w:r w:rsidR="00CB7169">
        <w:rPr>
          <w:lang w:val="en-GB"/>
        </w:rPr>
        <w:t>There is s</w:t>
      </w:r>
      <w:r w:rsidR="00CD6FDD">
        <w:rPr>
          <w:lang w:val="en-GB"/>
        </w:rPr>
        <w:t>ome inconsistency in the number</w:t>
      </w:r>
      <w:r w:rsidR="00CB7169">
        <w:rPr>
          <w:lang w:val="en-GB"/>
        </w:rPr>
        <w:t xml:space="preserve"> of applications received, approved, and rejected across the reports. </w:t>
      </w:r>
      <w:r w:rsidR="009205D9">
        <w:rPr>
          <w:lang w:val="en-GB"/>
        </w:rPr>
        <w:t xml:space="preserve">For instance, </w:t>
      </w:r>
      <w:r w:rsidR="009205D9" w:rsidRPr="00E87F93">
        <w:rPr>
          <w:lang w:val="en-GB"/>
        </w:rPr>
        <w:t>the Third Annual Report notes that with the 450 applications received between 1 July 2015 and 30 June 2016, the total number of submitted citizenship requests under the IIP amounted to 723</w:t>
      </w:r>
      <w:r w:rsidR="00DA61D1">
        <w:rPr>
          <w:lang w:val="en-GB"/>
        </w:rPr>
        <w:t>.</w:t>
      </w:r>
      <w:r w:rsidR="009205D9" w:rsidRPr="00E87F93">
        <w:rPr>
          <w:rStyle w:val="FootnoteReference"/>
          <w:lang w:val="en-GB"/>
        </w:rPr>
        <w:footnoteReference w:id="82"/>
      </w:r>
      <w:r w:rsidR="009205D9" w:rsidRPr="00E87F93">
        <w:rPr>
          <w:lang w:val="en-GB"/>
        </w:rPr>
        <w:t xml:space="preserve"> When the information from the First Annual Report (173 applications)</w:t>
      </w:r>
      <w:r w:rsidR="00A47676" w:rsidRPr="00E87F93">
        <w:rPr>
          <w:rStyle w:val="FootnoteReference"/>
          <w:lang w:val="en-GB"/>
        </w:rPr>
        <w:footnoteReference w:id="83"/>
      </w:r>
      <w:r w:rsidR="009205D9" w:rsidRPr="00E87F93">
        <w:rPr>
          <w:lang w:val="en-GB"/>
        </w:rPr>
        <w:t xml:space="preserve"> is added to that </w:t>
      </w:r>
      <w:r w:rsidR="00580CF7" w:rsidRPr="00E87F93">
        <w:rPr>
          <w:lang w:val="en-GB"/>
        </w:rPr>
        <w:t xml:space="preserve">from the Second Annual Report (245 </w:t>
      </w:r>
      <w:r w:rsidR="00580CF7" w:rsidRPr="00E87F93">
        <w:rPr>
          <w:lang w:val="en-GB"/>
        </w:rPr>
        <w:lastRenderedPageBreak/>
        <w:t>applications),</w:t>
      </w:r>
      <w:r w:rsidR="00580CF7" w:rsidRPr="00E87F93">
        <w:rPr>
          <w:rStyle w:val="FootnoteReference"/>
          <w:lang w:val="en-GB"/>
        </w:rPr>
        <w:footnoteReference w:id="84"/>
      </w:r>
      <w:r w:rsidR="00580CF7" w:rsidRPr="00E87F93">
        <w:rPr>
          <w:lang w:val="en-GB"/>
        </w:rPr>
        <w:t xml:space="preserve"> and the Third Annual Report (450 applications)</w:t>
      </w:r>
      <w:r w:rsidR="00DA61D1">
        <w:rPr>
          <w:lang w:val="en-GB"/>
        </w:rPr>
        <w:t>,</w:t>
      </w:r>
      <w:r w:rsidR="00580CF7" w:rsidRPr="00E87F93">
        <w:rPr>
          <w:rStyle w:val="FootnoteReference"/>
          <w:lang w:val="en-GB"/>
        </w:rPr>
        <w:footnoteReference w:id="85"/>
      </w:r>
      <w:r w:rsidR="00580CF7" w:rsidRPr="00E87F93">
        <w:rPr>
          <w:lang w:val="en-GB"/>
        </w:rPr>
        <w:t xml:space="preserve"> the total reached is 863 applications. The </w:t>
      </w:r>
      <w:r w:rsidR="00042C63">
        <w:rPr>
          <w:lang w:val="en-GB"/>
        </w:rPr>
        <w:t>Fourth</w:t>
      </w:r>
      <w:r w:rsidR="00580CF7" w:rsidRPr="00E87F93">
        <w:rPr>
          <w:lang w:val="en-GB"/>
        </w:rPr>
        <w:t xml:space="preserve"> Annual Report does no</w:t>
      </w:r>
      <w:r w:rsidR="00042C63">
        <w:rPr>
          <w:lang w:val="en-GB"/>
        </w:rPr>
        <w:t>t account for this discrepancy</w:t>
      </w:r>
      <w:r w:rsidR="00FE7717">
        <w:rPr>
          <w:lang w:val="en-GB"/>
        </w:rPr>
        <w:t xml:space="preserve"> and with the 377 applications from 1 July 2016 to 30 June 2017 it notes that the total number of applications is 1101</w:t>
      </w:r>
      <w:r w:rsidR="00BA6B76">
        <w:rPr>
          <w:lang w:val="en-GB"/>
        </w:rPr>
        <w:t xml:space="preserve">. The same document stipulates that in the previous </w:t>
      </w:r>
      <w:r w:rsidR="001B1591">
        <w:rPr>
          <w:lang w:val="en-GB"/>
        </w:rPr>
        <w:t xml:space="preserve">reporting </w:t>
      </w:r>
      <w:r w:rsidR="00BA6B76">
        <w:rPr>
          <w:lang w:val="en-GB"/>
        </w:rPr>
        <w:t>period, the number of applications was 451</w:t>
      </w:r>
      <w:r w:rsidR="001B1591">
        <w:rPr>
          <w:lang w:val="en-GB"/>
        </w:rPr>
        <w:t xml:space="preserve"> and not 450</w:t>
      </w:r>
      <w:r w:rsidR="00BA6B76">
        <w:rPr>
          <w:lang w:val="en-GB"/>
        </w:rPr>
        <w:t>.</w:t>
      </w:r>
      <w:r w:rsidR="00BA6B76" w:rsidRPr="00E87F93">
        <w:rPr>
          <w:rStyle w:val="FootnoteReference"/>
          <w:lang w:val="en-GB"/>
        </w:rPr>
        <w:footnoteReference w:id="86"/>
      </w:r>
    </w:p>
    <w:p w14:paraId="59D0C988" w14:textId="77777777" w:rsidR="00042C63" w:rsidRDefault="00042C63" w:rsidP="004671B1">
      <w:pPr>
        <w:pStyle w:val="MBT"/>
        <w:rPr>
          <w:lang w:val="en-GB"/>
        </w:rPr>
      </w:pPr>
    </w:p>
    <w:p w14:paraId="39D03F59" w14:textId="77777777" w:rsidR="00A47676" w:rsidRPr="00E87F93" w:rsidRDefault="00A47676" w:rsidP="004671B1">
      <w:pPr>
        <w:pStyle w:val="MBT"/>
        <w:rPr>
          <w:lang w:val="en-GB"/>
        </w:rPr>
      </w:pPr>
      <w:r w:rsidRPr="00E87F93">
        <w:rPr>
          <w:lang w:val="en-GB"/>
        </w:rPr>
        <w:t xml:space="preserve">During the three reporting periods, on average, each application contained </w:t>
      </w:r>
      <w:r w:rsidR="008844D7" w:rsidRPr="00E87F93">
        <w:rPr>
          <w:lang w:val="en-GB"/>
        </w:rPr>
        <w:t xml:space="preserve">one main applicant and three dependants. </w:t>
      </w:r>
      <w:r w:rsidR="00F76DBC" w:rsidRPr="00E87F93">
        <w:rPr>
          <w:lang w:val="en-GB"/>
        </w:rPr>
        <w:t xml:space="preserve">Only requests by main applicants are listed in the table. </w:t>
      </w:r>
    </w:p>
    <w:p w14:paraId="051B041D" w14:textId="77777777" w:rsidR="00A47676" w:rsidRPr="00E87F93" w:rsidRDefault="00A47676" w:rsidP="004671B1">
      <w:pPr>
        <w:pStyle w:val="MBT"/>
        <w:rPr>
          <w:lang w:val="en-GB"/>
        </w:rPr>
      </w:pPr>
    </w:p>
    <w:p w14:paraId="78798AA6" w14:textId="77777777" w:rsidR="00A47676" w:rsidRPr="00E87F93" w:rsidRDefault="00A47676" w:rsidP="004671B1">
      <w:pPr>
        <w:pStyle w:val="MBT"/>
        <w:rPr>
          <w:lang w:val="en-GB"/>
        </w:rPr>
      </w:pPr>
      <w:r w:rsidRPr="00E87F93">
        <w:rPr>
          <w:lang w:val="en-GB"/>
        </w:rPr>
        <w:t>The First Annual Report notes that in that reporting period there were no naturalisations or rejections of application</w:t>
      </w:r>
      <w:r w:rsidR="00CD6FDD">
        <w:rPr>
          <w:lang w:val="en-GB"/>
        </w:rPr>
        <w:t>s</w:t>
      </w:r>
      <w:r w:rsidRPr="00E87F93">
        <w:rPr>
          <w:lang w:val="en-GB"/>
        </w:rPr>
        <w:t>.</w:t>
      </w:r>
      <w:r w:rsidR="00E87F93" w:rsidRPr="00E87F93">
        <w:rPr>
          <w:rStyle w:val="FootnoteReference"/>
          <w:lang w:val="en-GB"/>
        </w:rPr>
        <w:footnoteReference w:id="87"/>
      </w:r>
      <w:r w:rsidRPr="00E87F93">
        <w:rPr>
          <w:lang w:val="en-GB"/>
        </w:rPr>
        <w:t xml:space="preserve"> </w:t>
      </w:r>
      <w:r w:rsidR="00432DAB" w:rsidRPr="00E87F93">
        <w:rPr>
          <w:lang w:val="en-GB"/>
        </w:rPr>
        <w:t xml:space="preserve">In the Second Annual Report, it </w:t>
      </w:r>
      <w:r w:rsidR="00CD6FDD">
        <w:rPr>
          <w:lang w:val="en-GB"/>
        </w:rPr>
        <w:t>is</w:t>
      </w:r>
      <w:r w:rsidR="00432DAB" w:rsidRPr="00E87F93">
        <w:rPr>
          <w:lang w:val="en-GB"/>
        </w:rPr>
        <w:t xml:space="preserve"> noted that between 1 July 2014 and 30 June 2015, a total of 75 applications received an approval in principle (i.e. applications for which the due diligence process </w:t>
      </w:r>
      <w:r w:rsidR="00CD6FDD">
        <w:rPr>
          <w:lang w:val="en-GB"/>
        </w:rPr>
        <w:t>was</w:t>
      </w:r>
      <w:r w:rsidR="00432DAB" w:rsidRPr="00E87F93">
        <w:rPr>
          <w:lang w:val="en-GB"/>
        </w:rPr>
        <w:t xml:space="preserve"> concluded and a letter of approval in principle issued), while a total of 44 naturalisations of main applicants (137 naturalisations overall) took place.</w:t>
      </w:r>
      <w:r w:rsidR="00E87F93" w:rsidRPr="00E87F93">
        <w:rPr>
          <w:rStyle w:val="FootnoteReference"/>
          <w:lang w:val="en-GB"/>
        </w:rPr>
        <w:footnoteReference w:id="88"/>
      </w:r>
      <w:r w:rsidR="00432DAB" w:rsidRPr="00E87F93">
        <w:rPr>
          <w:lang w:val="en-GB"/>
        </w:rPr>
        <w:t xml:space="preserve">  The Third Annual Report notes that the number of approvals in principle issued between 1 July 2015 and 30 June 2016 was 241, and that 134 main applicants were naturalised (</w:t>
      </w:r>
      <w:r w:rsidR="00E87F93" w:rsidRPr="00E87F93">
        <w:rPr>
          <w:lang w:val="en-GB"/>
        </w:rPr>
        <w:t>47</w:t>
      </w:r>
      <w:r w:rsidR="00432DAB" w:rsidRPr="00E87F93">
        <w:rPr>
          <w:lang w:val="en-GB"/>
        </w:rPr>
        <w:t>7 naturalisations overall)</w:t>
      </w:r>
      <w:r w:rsidR="00E87F93" w:rsidRPr="00E87F93">
        <w:rPr>
          <w:lang w:val="en-GB"/>
        </w:rPr>
        <w:t xml:space="preserve">. </w:t>
      </w:r>
      <w:r w:rsidR="00CD6FDD">
        <w:rPr>
          <w:lang w:val="en-GB"/>
        </w:rPr>
        <w:t>Eight</w:t>
      </w:r>
      <w:r w:rsidR="00E87F93" w:rsidRPr="00E87F93">
        <w:rPr>
          <w:lang w:val="en-GB"/>
        </w:rPr>
        <w:t xml:space="preserve"> applications were withdrawn before the due diligence process was completed.</w:t>
      </w:r>
      <w:r w:rsidR="00E87F93" w:rsidRPr="00E87F93">
        <w:rPr>
          <w:rStyle w:val="FootnoteReference"/>
          <w:lang w:val="en-GB"/>
        </w:rPr>
        <w:footnoteReference w:id="89"/>
      </w:r>
      <w:r w:rsidR="00BA6B76">
        <w:rPr>
          <w:lang w:val="en-GB"/>
        </w:rPr>
        <w:t xml:space="preserve"> The number of approved applications increased significantly in the fourth reporting period, when 422 applications </w:t>
      </w:r>
      <w:r w:rsidR="00CD6FDD">
        <w:rPr>
          <w:lang w:val="en-GB"/>
        </w:rPr>
        <w:t>were</w:t>
      </w:r>
      <w:r w:rsidR="00BA6B76">
        <w:rPr>
          <w:lang w:val="en-GB"/>
        </w:rPr>
        <w:t xml:space="preserve"> approved, and 83 </w:t>
      </w:r>
      <w:r w:rsidR="00CD6FDD">
        <w:rPr>
          <w:lang w:val="en-GB"/>
        </w:rPr>
        <w:t>were</w:t>
      </w:r>
      <w:r w:rsidR="00BA6B76">
        <w:rPr>
          <w:lang w:val="en-GB"/>
        </w:rPr>
        <w:t xml:space="preserve"> rejected or withdrawn. During this period, 386 main applicants were naturalised.</w:t>
      </w:r>
      <w:r w:rsidR="00BA6B76" w:rsidRPr="00E87F93">
        <w:rPr>
          <w:rStyle w:val="FootnoteReference"/>
          <w:lang w:val="en-GB"/>
        </w:rPr>
        <w:footnoteReference w:id="90"/>
      </w:r>
      <w:r w:rsidR="00BA6B76">
        <w:t xml:space="preserve"> </w:t>
      </w:r>
    </w:p>
    <w:p w14:paraId="69C8F265" w14:textId="77777777" w:rsidR="00BE4752" w:rsidRPr="0044090D" w:rsidRDefault="00BE4752" w:rsidP="00F75B83">
      <w:pPr>
        <w:pStyle w:val="MBT"/>
        <w:rPr>
          <w:lang w:val="en-GB"/>
        </w:rPr>
      </w:pPr>
    </w:p>
    <w:p w14:paraId="5D0802B4" w14:textId="77777777" w:rsidR="00E00301" w:rsidRPr="00E00301" w:rsidRDefault="00AC2EEB" w:rsidP="00BE4752">
      <w:pPr>
        <w:pStyle w:val="MH2"/>
        <w:outlineLvl w:val="9"/>
      </w:pPr>
      <w:r w:rsidRPr="0044090D">
        <w:t>Information on naturalisation of family members</w:t>
      </w:r>
    </w:p>
    <w:p w14:paraId="175C9074" w14:textId="77777777" w:rsidR="00E00301" w:rsidRPr="00BE5F22" w:rsidRDefault="00E00301" w:rsidP="00E00301">
      <w:pPr>
        <w:pStyle w:val="MMultilevel"/>
        <w:rPr>
          <w:b/>
          <w:lang w:val="en-GB"/>
        </w:rPr>
      </w:pPr>
      <w:r w:rsidRPr="00BE5F22">
        <w:rPr>
          <w:b/>
          <w:i/>
          <w:lang w:val="en-GB"/>
        </w:rPr>
        <w:t>Measures concerning the naturalisation of family members</w:t>
      </w:r>
    </w:p>
    <w:p w14:paraId="551E7C8B" w14:textId="77777777" w:rsidR="00936F45" w:rsidRPr="0044090D" w:rsidRDefault="00936F45" w:rsidP="00BE4752">
      <w:pPr>
        <w:pStyle w:val="MBT"/>
        <w:rPr>
          <w:lang w:val="en-GB"/>
        </w:rPr>
      </w:pPr>
    </w:p>
    <w:p w14:paraId="0D9CC880" w14:textId="77777777" w:rsidR="00936F45" w:rsidRPr="0044090D" w:rsidRDefault="00BE4752" w:rsidP="00936F45">
      <w:pPr>
        <w:pStyle w:val="MBT"/>
        <w:rPr>
          <w:lang w:val="en-GB"/>
        </w:rPr>
      </w:pPr>
      <w:r w:rsidRPr="0044090D">
        <w:rPr>
          <w:lang w:val="en-GB"/>
        </w:rPr>
        <w:t xml:space="preserve">LN 47/2014 distinguishes between the main applicant and dependants. As indicated in </w:t>
      </w:r>
      <w:r w:rsidR="00DA61D1">
        <w:rPr>
          <w:lang w:val="en-GB"/>
        </w:rPr>
        <w:t>point</w:t>
      </w:r>
      <w:r w:rsidRPr="0044090D">
        <w:rPr>
          <w:lang w:val="en-GB"/>
        </w:rPr>
        <w:t xml:space="preserve"> 1.3 above</w:t>
      </w:r>
      <w:r w:rsidR="00936F45" w:rsidRPr="0044090D">
        <w:rPr>
          <w:lang w:val="en-GB"/>
        </w:rPr>
        <w:t>,</w:t>
      </w:r>
      <w:r w:rsidRPr="0044090D">
        <w:rPr>
          <w:lang w:val="en-GB"/>
        </w:rPr>
        <w:t xml:space="preserve"> </w:t>
      </w:r>
      <w:r w:rsidR="00936F45" w:rsidRPr="0044090D">
        <w:rPr>
          <w:lang w:val="en-GB"/>
        </w:rPr>
        <w:t>a broad range of family members qualify as dependants within the meaning of LN 47/2014</w:t>
      </w:r>
      <w:r w:rsidR="00DA61D1">
        <w:rPr>
          <w:lang w:val="en-GB"/>
        </w:rPr>
        <w:t>:</w:t>
      </w:r>
      <w:r w:rsidR="00936F45" w:rsidRPr="0044090D">
        <w:rPr>
          <w:rStyle w:val="FootnoteReference"/>
          <w:lang w:val="en-GB"/>
        </w:rPr>
        <w:footnoteReference w:id="91"/>
      </w:r>
    </w:p>
    <w:p w14:paraId="52C48E78" w14:textId="77777777" w:rsidR="00936F45" w:rsidRPr="0044090D" w:rsidRDefault="00936F45" w:rsidP="00ED5925">
      <w:pPr>
        <w:pStyle w:val="MBT"/>
        <w:numPr>
          <w:ilvl w:val="0"/>
          <w:numId w:val="22"/>
        </w:numPr>
        <w:rPr>
          <w:lang w:val="en-GB"/>
        </w:rPr>
      </w:pPr>
      <w:r w:rsidRPr="0044090D">
        <w:rPr>
          <w:lang w:val="en-GB"/>
        </w:rPr>
        <w:t>The main applicant’s spouse in a monogamous marriage or in another relationship having the same or similar status as marriage;</w:t>
      </w:r>
    </w:p>
    <w:p w14:paraId="599A85BB" w14:textId="77777777" w:rsidR="00936F45" w:rsidRPr="0044090D" w:rsidRDefault="00936F45" w:rsidP="00ED5925">
      <w:pPr>
        <w:pStyle w:val="MBT"/>
        <w:numPr>
          <w:ilvl w:val="0"/>
          <w:numId w:val="22"/>
        </w:numPr>
        <w:rPr>
          <w:lang w:val="en-GB"/>
        </w:rPr>
      </w:pPr>
      <w:r w:rsidRPr="0044090D">
        <w:rPr>
          <w:lang w:val="en-GB"/>
        </w:rPr>
        <w:t>Children under 18 years of age of the main applicant or of his/her spouse;</w:t>
      </w:r>
    </w:p>
    <w:p w14:paraId="1809459B" w14:textId="77777777" w:rsidR="00936F45" w:rsidRPr="0044090D" w:rsidRDefault="00936F45" w:rsidP="00ED5925">
      <w:pPr>
        <w:pStyle w:val="MBT"/>
        <w:numPr>
          <w:ilvl w:val="0"/>
          <w:numId w:val="22"/>
        </w:numPr>
        <w:rPr>
          <w:lang w:val="en-GB"/>
        </w:rPr>
      </w:pPr>
      <w:r w:rsidRPr="0044090D">
        <w:rPr>
          <w:lang w:val="en-GB"/>
        </w:rPr>
        <w:t>Unmarried children of the main applicant or of his/her spouse who are between 18 and 26 years of age and who prove to the Minister’s satisfaction that they are wholly maintained by the main applicant;</w:t>
      </w:r>
    </w:p>
    <w:p w14:paraId="36C009A6" w14:textId="77777777" w:rsidR="00936F45" w:rsidRPr="0044090D" w:rsidRDefault="00936F45" w:rsidP="00ED5925">
      <w:pPr>
        <w:pStyle w:val="MBT"/>
        <w:numPr>
          <w:ilvl w:val="0"/>
          <w:numId w:val="22"/>
        </w:numPr>
        <w:rPr>
          <w:lang w:val="en-GB"/>
        </w:rPr>
      </w:pPr>
      <w:r w:rsidRPr="0044090D">
        <w:rPr>
          <w:lang w:val="en-GB"/>
        </w:rPr>
        <w:t>Parents or grandparents above 55 years of age of the main applicant or of his/her spouse who prove to the Minister’s satisfaction that they are wholly maintained or supported by the main applicant and form part of the main applicant’s household;</w:t>
      </w:r>
    </w:p>
    <w:p w14:paraId="003F03F1" w14:textId="77777777" w:rsidR="00936F45" w:rsidRPr="0044090D" w:rsidRDefault="00936F45" w:rsidP="00ED5925">
      <w:pPr>
        <w:pStyle w:val="MBT"/>
        <w:numPr>
          <w:ilvl w:val="0"/>
          <w:numId w:val="22"/>
        </w:numPr>
        <w:rPr>
          <w:lang w:val="en-GB"/>
        </w:rPr>
      </w:pPr>
      <w:r w:rsidRPr="0044090D">
        <w:rPr>
          <w:lang w:val="en-GB"/>
        </w:rPr>
        <w:t>Physically or mentally challenged children who are at least 18 years of age of the main applicant or of his/her spouse and who live with and are fully supported by the main applicant. Such person must have the capacity to take an oath of allegiance.</w:t>
      </w:r>
    </w:p>
    <w:p w14:paraId="0C86F7D7" w14:textId="77777777" w:rsidR="00BE4752" w:rsidRPr="0044090D" w:rsidRDefault="00BE4752" w:rsidP="00BE4752">
      <w:pPr>
        <w:pStyle w:val="MBT"/>
        <w:rPr>
          <w:lang w:val="en-GB"/>
        </w:rPr>
      </w:pPr>
    </w:p>
    <w:p w14:paraId="30DEAAEE" w14:textId="77777777" w:rsidR="00BE4752" w:rsidRPr="0044090D" w:rsidRDefault="00BE4752" w:rsidP="00BE4752">
      <w:pPr>
        <w:pStyle w:val="MBT"/>
        <w:rPr>
          <w:lang w:val="en-GB"/>
        </w:rPr>
      </w:pPr>
      <w:r w:rsidRPr="0044090D">
        <w:rPr>
          <w:lang w:val="en-GB"/>
        </w:rPr>
        <w:t>In the case of dependants over 18 years of age, with the exception of the spouse, the main applicant must provide an affidavit of support with the application form</w:t>
      </w:r>
      <w:r w:rsidR="00DA61D1">
        <w:rPr>
          <w:lang w:val="en-GB"/>
        </w:rPr>
        <w:t>.</w:t>
      </w:r>
      <w:r w:rsidRPr="0044090D">
        <w:rPr>
          <w:rStyle w:val="FootnoteReference"/>
          <w:lang w:val="en-GB"/>
        </w:rPr>
        <w:footnoteReference w:id="92"/>
      </w:r>
    </w:p>
    <w:p w14:paraId="69503AAD" w14:textId="77777777" w:rsidR="00BE4752" w:rsidRPr="0044090D" w:rsidRDefault="00BE4752" w:rsidP="00BE4752">
      <w:pPr>
        <w:pStyle w:val="MBT"/>
        <w:rPr>
          <w:lang w:val="en-GB"/>
        </w:rPr>
      </w:pPr>
    </w:p>
    <w:p w14:paraId="45E7E1B7" w14:textId="77777777" w:rsidR="007D22A1" w:rsidRPr="0044090D" w:rsidRDefault="00BE4752" w:rsidP="00BE4752">
      <w:pPr>
        <w:pStyle w:val="MBT"/>
        <w:rPr>
          <w:lang w:val="en-GB"/>
        </w:rPr>
      </w:pPr>
      <w:r w:rsidRPr="0044090D">
        <w:rPr>
          <w:lang w:val="en-GB"/>
        </w:rPr>
        <w:t>As regards dependants below 18 years of age:</w:t>
      </w:r>
    </w:p>
    <w:p w14:paraId="6BCB09FC" w14:textId="77777777" w:rsidR="00BE4752" w:rsidRPr="0044090D" w:rsidRDefault="00936F45" w:rsidP="007D22A1">
      <w:pPr>
        <w:pStyle w:val="MBT"/>
        <w:numPr>
          <w:ilvl w:val="0"/>
          <w:numId w:val="31"/>
        </w:numPr>
        <w:rPr>
          <w:lang w:val="en-GB"/>
        </w:rPr>
      </w:pPr>
      <w:r w:rsidRPr="0044090D">
        <w:rPr>
          <w:lang w:val="en-GB"/>
        </w:rPr>
        <w:t>The</w:t>
      </w:r>
      <w:r w:rsidR="00BE4752" w:rsidRPr="0044090D">
        <w:rPr>
          <w:lang w:val="en-GB"/>
        </w:rPr>
        <w:t xml:space="preserve"> forms must be signed by both parents on behalf of the dependant; and</w:t>
      </w:r>
    </w:p>
    <w:p w14:paraId="674B06F3" w14:textId="77777777" w:rsidR="00BE4752" w:rsidRPr="0044090D" w:rsidRDefault="00936F45" w:rsidP="007D22A1">
      <w:pPr>
        <w:pStyle w:val="MBT"/>
        <w:numPr>
          <w:ilvl w:val="0"/>
          <w:numId w:val="31"/>
        </w:numPr>
        <w:rPr>
          <w:lang w:val="en-GB"/>
        </w:rPr>
      </w:pPr>
      <w:r w:rsidRPr="0044090D">
        <w:rPr>
          <w:lang w:val="en-GB"/>
        </w:rPr>
        <w:t>Where</w:t>
      </w:r>
      <w:r w:rsidR="00BE4752" w:rsidRPr="0044090D">
        <w:rPr>
          <w:lang w:val="en-GB"/>
        </w:rPr>
        <w:t xml:space="preserve"> one parent has sole custody, or another person has legal guardianship, the appropriate legal documentation must be provided to demonstrate that </w:t>
      </w:r>
      <w:r w:rsidRPr="0044090D">
        <w:rPr>
          <w:lang w:val="en-GB"/>
        </w:rPr>
        <w:t xml:space="preserve">a court of law of other relevant authority awarded </w:t>
      </w:r>
      <w:r w:rsidR="00BE4752" w:rsidRPr="0044090D">
        <w:rPr>
          <w:lang w:val="en-GB"/>
        </w:rPr>
        <w:t>sole custody or guardianship</w:t>
      </w:r>
      <w:r w:rsidR="00DA61D1">
        <w:rPr>
          <w:lang w:val="en-GB"/>
        </w:rPr>
        <w:t>.</w:t>
      </w:r>
      <w:r w:rsidR="00BE4752" w:rsidRPr="0044090D">
        <w:rPr>
          <w:rStyle w:val="FootnoteReference"/>
          <w:lang w:val="en-GB"/>
        </w:rPr>
        <w:footnoteReference w:id="93"/>
      </w:r>
    </w:p>
    <w:p w14:paraId="4456829A" w14:textId="77777777" w:rsidR="00BE4752" w:rsidRPr="0044090D" w:rsidRDefault="00BE4752" w:rsidP="00BE4752">
      <w:pPr>
        <w:jc w:val="both"/>
        <w:rPr>
          <w:bCs/>
          <w:sz w:val="22"/>
          <w:szCs w:val="22"/>
          <w:lang w:val="en-GB"/>
        </w:rPr>
      </w:pPr>
    </w:p>
    <w:p w14:paraId="45DD1E1E" w14:textId="0C00B490" w:rsidR="00BE4752" w:rsidRPr="0044090D" w:rsidRDefault="00BE4752" w:rsidP="00BE4752">
      <w:pPr>
        <w:jc w:val="both"/>
        <w:rPr>
          <w:bCs/>
          <w:sz w:val="22"/>
          <w:szCs w:val="22"/>
          <w:lang w:val="en-GB"/>
        </w:rPr>
      </w:pPr>
      <w:r w:rsidRPr="0044090D">
        <w:rPr>
          <w:bCs/>
          <w:sz w:val="22"/>
          <w:szCs w:val="22"/>
          <w:lang w:val="en-GB"/>
        </w:rPr>
        <w:t>Dependants must meet the eligibility criteria set out in</w:t>
      </w:r>
      <w:r w:rsidR="00936F45" w:rsidRPr="0044090D">
        <w:rPr>
          <w:bCs/>
          <w:sz w:val="22"/>
          <w:szCs w:val="22"/>
          <w:lang w:val="en-GB"/>
        </w:rPr>
        <w:t xml:space="preserve"> Regulation 5 of</w:t>
      </w:r>
      <w:r w:rsidRPr="0044090D">
        <w:rPr>
          <w:bCs/>
          <w:sz w:val="22"/>
          <w:szCs w:val="22"/>
          <w:lang w:val="en-GB"/>
        </w:rPr>
        <w:t xml:space="preserve"> LN 47/2014 as outlined in </w:t>
      </w:r>
      <w:r w:rsidR="00AD6985">
        <w:rPr>
          <w:bCs/>
          <w:sz w:val="22"/>
          <w:szCs w:val="22"/>
          <w:lang w:val="en-GB"/>
        </w:rPr>
        <w:t xml:space="preserve">point </w:t>
      </w:r>
      <w:r w:rsidR="00936F45" w:rsidRPr="0044090D">
        <w:rPr>
          <w:bCs/>
          <w:sz w:val="22"/>
          <w:szCs w:val="22"/>
          <w:lang w:val="en-GB"/>
        </w:rPr>
        <w:t>2.</w:t>
      </w:r>
      <w:r w:rsidR="00AD6985">
        <w:rPr>
          <w:bCs/>
          <w:sz w:val="22"/>
          <w:szCs w:val="22"/>
          <w:lang w:val="en-GB"/>
        </w:rPr>
        <w:t>4</w:t>
      </w:r>
      <w:r w:rsidR="00AD6985" w:rsidRPr="0044090D">
        <w:rPr>
          <w:bCs/>
          <w:sz w:val="22"/>
          <w:szCs w:val="22"/>
          <w:lang w:val="en-GB"/>
        </w:rPr>
        <w:t xml:space="preserve"> </w:t>
      </w:r>
      <w:r w:rsidR="00936F45" w:rsidRPr="0044090D">
        <w:rPr>
          <w:bCs/>
          <w:sz w:val="22"/>
          <w:szCs w:val="22"/>
          <w:lang w:val="en-GB"/>
        </w:rPr>
        <w:t xml:space="preserve">below. </w:t>
      </w:r>
      <w:r w:rsidR="007A1FB6" w:rsidRPr="0044090D">
        <w:rPr>
          <w:bCs/>
          <w:sz w:val="22"/>
          <w:szCs w:val="22"/>
          <w:lang w:val="en-GB"/>
        </w:rPr>
        <w:t>No separate investment is required from dependants and t</w:t>
      </w:r>
      <w:r w:rsidR="00936F45" w:rsidRPr="0044090D">
        <w:rPr>
          <w:bCs/>
          <w:sz w:val="22"/>
          <w:szCs w:val="22"/>
          <w:lang w:val="en-GB"/>
        </w:rPr>
        <w:t>he contribution to</w:t>
      </w:r>
      <w:r w:rsidR="00A36932" w:rsidRPr="0044090D">
        <w:rPr>
          <w:bCs/>
          <w:sz w:val="22"/>
          <w:szCs w:val="22"/>
          <w:lang w:val="en-GB"/>
        </w:rPr>
        <w:t xml:space="preserve"> be</w:t>
      </w:r>
      <w:r w:rsidR="00936F45" w:rsidRPr="0044090D">
        <w:rPr>
          <w:bCs/>
          <w:sz w:val="22"/>
          <w:szCs w:val="22"/>
          <w:lang w:val="en-GB"/>
        </w:rPr>
        <w:t xml:space="preserve"> made </w:t>
      </w:r>
      <w:r w:rsidR="00A36932" w:rsidRPr="0044090D">
        <w:rPr>
          <w:bCs/>
          <w:sz w:val="22"/>
          <w:szCs w:val="22"/>
          <w:lang w:val="en-GB"/>
        </w:rPr>
        <w:t>on behalf of</w:t>
      </w:r>
      <w:r w:rsidR="00936F45" w:rsidRPr="0044090D">
        <w:rPr>
          <w:bCs/>
          <w:sz w:val="22"/>
          <w:szCs w:val="22"/>
          <w:lang w:val="en-GB"/>
        </w:rPr>
        <w:t xml:space="preserve"> dependants is much lower than that required from the main applicant. The due </w:t>
      </w:r>
      <w:r w:rsidR="007A1FB6" w:rsidRPr="0044090D">
        <w:rPr>
          <w:bCs/>
          <w:sz w:val="22"/>
          <w:szCs w:val="22"/>
          <w:lang w:val="en-GB"/>
        </w:rPr>
        <w:t>diligence</w:t>
      </w:r>
      <w:r w:rsidR="00936F45" w:rsidRPr="0044090D">
        <w:rPr>
          <w:bCs/>
          <w:sz w:val="22"/>
          <w:szCs w:val="22"/>
          <w:lang w:val="en-GB"/>
        </w:rPr>
        <w:t xml:space="preserve"> fees are also lower for dependants.</w:t>
      </w:r>
      <w:r w:rsidR="007A1FB6" w:rsidRPr="0044090D">
        <w:rPr>
          <w:bCs/>
          <w:sz w:val="22"/>
          <w:szCs w:val="22"/>
          <w:lang w:val="en-GB"/>
        </w:rPr>
        <w:t xml:space="preserve"> Further details are provided in </w:t>
      </w:r>
      <w:r w:rsidR="00DA61D1">
        <w:rPr>
          <w:bCs/>
          <w:sz w:val="22"/>
          <w:szCs w:val="22"/>
          <w:lang w:val="en-GB"/>
        </w:rPr>
        <w:t xml:space="preserve">point </w:t>
      </w:r>
      <w:r w:rsidR="007A1FB6" w:rsidRPr="0044090D">
        <w:rPr>
          <w:bCs/>
          <w:sz w:val="22"/>
          <w:szCs w:val="22"/>
          <w:lang w:val="en-GB"/>
        </w:rPr>
        <w:t>2.1 below.</w:t>
      </w:r>
    </w:p>
    <w:p w14:paraId="4ED94C60" w14:textId="77777777" w:rsidR="00BE4752" w:rsidRPr="0044090D" w:rsidRDefault="00BE4752" w:rsidP="00BE4752">
      <w:pPr>
        <w:pStyle w:val="MMultilevel"/>
        <w:numPr>
          <w:ilvl w:val="0"/>
          <w:numId w:val="0"/>
        </w:numPr>
        <w:rPr>
          <w:i/>
          <w:lang w:val="en-GB"/>
        </w:rPr>
      </w:pPr>
    </w:p>
    <w:p w14:paraId="0153D2CD" w14:textId="77777777" w:rsidR="00AC2EEB" w:rsidRPr="00E00301" w:rsidRDefault="00AC2EEB" w:rsidP="00F75B83">
      <w:pPr>
        <w:pStyle w:val="MMultilevel"/>
        <w:rPr>
          <w:b/>
          <w:i/>
          <w:lang w:val="en-GB"/>
        </w:rPr>
      </w:pPr>
      <w:r w:rsidRPr="00E00301">
        <w:rPr>
          <w:b/>
          <w:i/>
          <w:lang w:val="en-GB"/>
        </w:rPr>
        <w:t>Statistical data on the number/percentage of successful applications for naturalisation of family members</w:t>
      </w:r>
      <w:r w:rsidRPr="00E00301">
        <w:rPr>
          <w:b/>
          <w:i/>
          <w:color w:val="FF0000"/>
          <w:lang w:val="en-GB"/>
        </w:rPr>
        <w:t xml:space="preserve"> </w:t>
      </w:r>
    </w:p>
    <w:p w14:paraId="07CAA05F" w14:textId="77777777" w:rsidR="00F75B83" w:rsidRPr="0044090D" w:rsidRDefault="00F75B83" w:rsidP="00F75B83">
      <w:pPr>
        <w:pStyle w:val="MBT"/>
        <w:rPr>
          <w:lang w:val="en-GB"/>
        </w:rPr>
      </w:pPr>
    </w:p>
    <w:tbl>
      <w:tblPr>
        <w:tblStyle w:val="TableGrid"/>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886"/>
        <w:gridCol w:w="3336"/>
        <w:gridCol w:w="3794"/>
      </w:tblGrid>
      <w:tr w:rsidR="007D22A1" w:rsidRPr="00E00301" w14:paraId="362DD308" w14:textId="77777777" w:rsidTr="007D22A1">
        <w:tc>
          <w:tcPr>
            <w:tcW w:w="1046" w:type="pct"/>
            <w:shd w:val="clear" w:color="auto" w:fill="95B3D7" w:themeFill="accent1" w:themeFillTint="99"/>
          </w:tcPr>
          <w:p w14:paraId="03772233" w14:textId="77777777" w:rsidR="00AC2EEB" w:rsidRPr="00E00301" w:rsidRDefault="00CB7169" w:rsidP="00A41ECE">
            <w:pPr>
              <w:jc w:val="center"/>
              <w:rPr>
                <w:rFonts w:ascii="Century Gothic" w:hAnsi="Century Gothic"/>
                <w:b/>
                <w:szCs w:val="18"/>
                <w:lang w:val="en-GB"/>
              </w:rPr>
            </w:pPr>
            <w:r w:rsidRPr="00E00301">
              <w:rPr>
                <w:rFonts w:ascii="Century Gothic" w:hAnsi="Century Gothic"/>
                <w:b/>
                <w:szCs w:val="18"/>
                <w:lang w:val="en-GB"/>
              </w:rPr>
              <w:t>Period</w:t>
            </w:r>
          </w:p>
        </w:tc>
        <w:tc>
          <w:tcPr>
            <w:tcW w:w="1850" w:type="pct"/>
            <w:shd w:val="clear" w:color="auto" w:fill="95B3D7" w:themeFill="accent1" w:themeFillTint="99"/>
          </w:tcPr>
          <w:p w14:paraId="0C67BAA9" w14:textId="77777777" w:rsidR="00AC2EEB" w:rsidRPr="00E00301" w:rsidRDefault="00AC2EEB" w:rsidP="00A41ECE">
            <w:pPr>
              <w:jc w:val="center"/>
              <w:rPr>
                <w:rFonts w:ascii="Century Gothic" w:hAnsi="Century Gothic"/>
                <w:b/>
                <w:szCs w:val="18"/>
                <w:lang w:val="en-GB"/>
              </w:rPr>
            </w:pPr>
            <w:r w:rsidRPr="00E00301">
              <w:rPr>
                <w:rFonts w:ascii="Century Gothic" w:hAnsi="Century Gothic"/>
                <w:b/>
                <w:szCs w:val="18"/>
                <w:lang w:val="en-GB"/>
              </w:rPr>
              <w:t>Number/Percentage of successful applications for naturalisation of family members</w:t>
            </w:r>
          </w:p>
        </w:tc>
        <w:tc>
          <w:tcPr>
            <w:tcW w:w="2104" w:type="pct"/>
            <w:shd w:val="clear" w:color="auto" w:fill="95B3D7" w:themeFill="accent1" w:themeFillTint="99"/>
          </w:tcPr>
          <w:p w14:paraId="0270A31A" w14:textId="77777777" w:rsidR="00AC2EEB" w:rsidRPr="00E00301" w:rsidRDefault="00AC2EEB" w:rsidP="00A41ECE">
            <w:pPr>
              <w:jc w:val="center"/>
              <w:rPr>
                <w:rFonts w:ascii="Century Gothic" w:hAnsi="Century Gothic"/>
                <w:b/>
                <w:szCs w:val="18"/>
                <w:lang w:val="en-GB"/>
              </w:rPr>
            </w:pPr>
            <w:r w:rsidRPr="00E00301">
              <w:rPr>
                <w:rFonts w:ascii="Century Gothic" w:hAnsi="Century Gothic"/>
                <w:b/>
                <w:szCs w:val="18"/>
                <w:lang w:val="en-GB"/>
              </w:rPr>
              <w:t>Source</w:t>
            </w:r>
          </w:p>
        </w:tc>
      </w:tr>
      <w:tr w:rsidR="007D22A1" w:rsidRPr="00E00301" w14:paraId="7843B3AB" w14:textId="77777777" w:rsidTr="007D22A1">
        <w:tc>
          <w:tcPr>
            <w:tcW w:w="1046" w:type="pct"/>
            <w:shd w:val="clear" w:color="auto" w:fill="B8CCE4" w:themeFill="accent1" w:themeFillTint="66"/>
          </w:tcPr>
          <w:p w14:paraId="1705AD0B" w14:textId="77777777" w:rsidR="00AC2EEB" w:rsidRPr="00E00301" w:rsidRDefault="00AC2EEB" w:rsidP="00A41ECE">
            <w:pPr>
              <w:jc w:val="both"/>
              <w:rPr>
                <w:rFonts w:ascii="Century Gothic" w:hAnsi="Century Gothic"/>
                <w:szCs w:val="18"/>
                <w:lang w:val="en-GB"/>
              </w:rPr>
            </w:pPr>
            <w:r w:rsidRPr="00E00301">
              <w:rPr>
                <w:rFonts w:ascii="Century Gothic" w:hAnsi="Century Gothic"/>
                <w:szCs w:val="18"/>
                <w:lang w:val="en-GB"/>
              </w:rPr>
              <w:t>2012</w:t>
            </w:r>
          </w:p>
        </w:tc>
        <w:tc>
          <w:tcPr>
            <w:tcW w:w="1850" w:type="pct"/>
            <w:shd w:val="clear" w:color="auto" w:fill="DBDBDB" w:themeFill="background2" w:themeFillTint="66"/>
          </w:tcPr>
          <w:p w14:paraId="4FCC4A99" w14:textId="77777777" w:rsidR="00AC2EEB" w:rsidRPr="00E00301" w:rsidRDefault="00CB7169" w:rsidP="00CB7169">
            <w:pPr>
              <w:jc w:val="center"/>
              <w:rPr>
                <w:rFonts w:ascii="Century Gothic" w:hAnsi="Century Gothic"/>
                <w:szCs w:val="18"/>
                <w:lang w:val="en-GB"/>
              </w:rPr>
            </w:pPr>
            <w:r w:rsidRPr="00E00301">
              <w:rPr>
                <w:rFonts w:ascii="Century Gothic" w:hAnsi="Century Gothic"/>
                <w:szCs w:val="18"/>
                <w:lang w:val="en-GB"/>
              </w:rPr>
              <w:t>N/A</w:t>
            </w:r>
          </w:p>
        </w:tc>
        <w:tc>
          <w:tcPr>
            <w:tcW w:w="2104" w:type="pct"/>
            <w:shd w:val="clear" w:color="auto" w:fill="DBDBDB" w:themeFill="background2" w:themeFillTint="66"/>
          </w:tcPr>
          <w:p w14:paraId="6B56B3FC"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N/A</w:t>
            </w:r>
          </w:p>
        </w:tc>
      </w:tr>
      <w:tr w:rsidR="007D22A1" w:rsidRPr="00E00301" w14:paraId="464FB1E4" w14:textId="77777777" w:rsidTr="007D22A1">
        <w:tc>
          <w:tcPr>
            <w:tcW w:w="1046" w:type="pct"/>
            <w:shd w:val="clear" w:color="auto" w:fill="B8CCE4" w:themeFill="accent1" w:themeFillTint="66"/>
          </w:tcPr>
          <w:p w14:paraId="5850A154" w14:textId="77777777" w:rsidR="00AC2EEB" w:rsidRPr="00E00301" w:rsidRDefault="00AC2EEB" w:rsidP="00A41ECE">
            <w:pPr>
              <w:jc w:val="both"/>
              <w:rPr>
                <w:rFonts w:ascii="Century Gothic" w:hAnsi="Century Gothic"/>
                <w:szCs w:val="18"/>
                <w:lang w:val="en-GB"/>
              </w:rPr>
            </w:pPr>
            <w:r w:rsidRPr="00E00301">
              <w:rPr>
                <w:rFonts w:ascii="Century Gothic" w:hAnsi="Century Gothic"/>
                <w:szCs w:val="18"/>
                <w:lang w:val="en-GB"/>
              </w:rPr>
              <w:t>2013</w:t>
            </w:r>
          </w:p>
        </w:tc>
        <w:tc>
          <w:tcPr>
            <w:tcW w:w="1850" w:type="pct"/>
            <w:shd w:val="clear" w:color="auto" w:fill="DBDBDB" w:themeFill="background2" w:themeFillTint="66"/>
          </w:tcPr>
          <w:p w14:paraId="2849F73F" w14:textId="77777777" w:rsidR="00AC2EEB" w:rsidRPr="00E00301" w:rsidRDefault="00CB7169" w:rsidP="00CB7169">
            <w:pPr>
              <w:jc w:val="center"/>
              <w:rPr>
                <w:rFonts w:ascii="Century Gothic" w:hAnsi="Century Gothic"/>
                <w:szCs w:val="18"/>
                <w:lang w:val="en-GB"/>
              </w:rPr>
            </w:pPr>
            <w:r w:rsidRPr="00E00301">
              <w:rPr>
                <w:rFonts w:ascii="Century Gothic" w:hAnsi="Century Gothic"/>
                <w:szCs w:val="18"/>
                <w:lang w:val="en-GB"/>
              </w:rPr>
              <w:t>N/A</w:t>
            </w:r>
          </w:p>
        </w:tc>
        <w:tc>
          <w:tcPr>
            <w:tcW w:w="2104" w:type="pct"/>
            <w:shd w:val="clear" w:color="auto" w:fill="DBDBDB" w:themeFill="background2" w:themeFillTint="66"/>
          </w:tcPr>
          <w:p w14:paraId="389EFCA9"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N/A</w:t>
            </w:r>
          </w:p>
        </w:tc>
      </w:tr>
      <w:tr w:rsidR="007D22A1" w:rsidRPr="00340E44" w14:paraId="76E21A63" w14:textId="77777777" w:rsidTr="007D22A1">
        <w:tc>
          <w:tcPr>
            <w:tcW w:w="1046" w:type="pct"/>
            <w:shd w:val="clear" w:color="auto" w:fill="B8CCE4" w:themeFill="accent1" w:themeFillTint="66"/>
          </w:tcPr>
          <w:p w14:paraId="7A685124"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 xml:space="preserve">Feb </w:t>
            </w:r>
            <w:r w:rsidR="00AC2EEB" w:rsidRPr="00E00301">
              <w:rPr>
                <w:rFonts w:ascii="Century Gothic" w:hAnsi="Century Gothic"/>
                <w:szCs w:val="18"/>
                <w:lang w:val="en-GB"/>
              </w:rPr>
              <w:t>2014</w:t>
            </w:r>
            <w:r w:rsidRPr="00E00301">
              <w:rPr>
                <w:rFonts w:ascii="Century Gothic" w:hAnsi="Century Gothic"/>
                <w:szCs w:val="18"/>
                <w:lang w:val="en-GB"/>
              </w:rPr>
              <w:t xml:space="preserve"> – Jun 2014</w:t>
            </w:r>
          </w:p>
        </w:tc>
        <w:tc>
          <w:tcPr>
            <w:tcW w:w="1850" w:type="pct"/>
            <w:shd w:val="clear" w:color="auto" w:fill="DBDBDB" w:themeFill="background2" w:themeFillTint="66"/>
          </w:tcPr>
          <w:p w14:paraId="0EFDBFB4"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0</w:t>
            </w:r>
          </w:p>
        </w:tc>
        <w:tc>
          <w:tcPr>
            <w:tcW w:w="2104" w:type="pct"/>
            <w:shd w:val="clear" w:color="auto" w:fill="DBDBDB" w:themeFill="background2" w:themeFillTint="66"/>
          </w:tcPr>
          <w:p w14:paraId="37B005FA"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https://oriip.gov.mt/en/Documents/Reports/Annual%20Report%202014.pdf</w:t>
            </w:r>
          </w:p>
        </w:tc>
      </w:tr>
      <w:tr w:rsidR="007D22A1" w:rsidRPr="00340E44" w14:paraId="777197C4" w14:textId="77777777" w:rsidTr="007D22A1">
        <w:tc>
          <w:tcPr>
            <w:tcW w:w="1046" w:type="pct"/>
            <w:shd w:val="clear" w:color="auto" w:fill="B8CCE4" w:themeFill="accent1" w:themeFillTint="66"/>
          </w:tcPr>
          <w:p w14:paraId="5B1B4E9C"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Jul 2014</w:t>
            </w:r>
            <w:r w:rsidR="00DA61D1" w:rsidRPr="00E00301">
              <w:rPr>
                <w:rFonts w:ascii="Century Gothic" w:hAnsi="Century Gothic"/>
                <w:szCs w:val="18"/>
                <w:lang w:val="en-GB"/>
              </w:rPr>
              <w:t xml:space="preserve"> </w:t>
            </w:r>
            <w:r w:rsidRPr="00E00301">
              <w:rPr>
                <w:rFonts w:ascii="Century Gothic" w:hAnsi="Century Gothic"/>
                <w:szCs w:val="18"/>
                <w:lang w:val="en-GB"/>
              </w:rPr>
              <w:t>– Jun 2015</w:t>
            </w:r>
          </w:p>
        </w:tc>
        <w:tc>
          <w:tcPr>
            <w:tcW w:w="1850" w:type="pct"/>
            <w:shd w:val="clear" w:color="auto" w:fill="DBDBDB" w:themeFill="background2" w:themeFillTint="66"/>
          </w:tcPr>
          <w:p w14:paraId="41A3A03F"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166</w:t>
            </w:r>
          </w:p>
        </w:tc>
        <w:tc>
          <w:tcPr>
            <w:tcW w:w="2104" w:type="pct"/>
            <w:shd w:val="clear" w:color="auto" w:fill="DBDBDB" w:themeFill="background2" w:themeFillTint="66"/>
          </w:tcPr>
          <w:p w14:paraId="3D47681B"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https://oriip.gov.mt/en/Documents/Reports/Annual%20Report%202015.pdf</w:t>
            </w:r>
          </w:p>
        </w:tc>
      </w:tr>
      <w:tr w:rsidR="007D22A1" w:rsidRPr="00340E44" w14:paraId="45D80941" w14:textId="77777777" w:rsidTr="007D22A1">
        <w:tc>
          <w:tcPr>
            <w:tcW w:w="1046" w:type="pct"/>
            <w:shd w:val="clear" w:color="auto" w:fill="B8CCE4" w:themeFill="accent1" w:themeFillTint="66"/>
          </w:tcPr>
          <w:p w14:paraId="5BD830BD" w14:textId="77777777" w:rsidR="00AC2EEB" w:rsidRPr="00E00301" w:rsidRDefault="00CB7169" w:rsidP="00A41ECE">
            <w:pPr>
              <w:jc w:val="both"/>
              <w:rPr>
                <w:rFonts w:ascii="Century Gothic" w:hAnsi="Century Gothic"/>
                <w:szCs w:val="18"/>
                <w:lang w:val="en-GB"/>
              </w:rPr>
            </w:pPr>
            <w:r w:rsidRPr="00E00301">
              <w:rPr>
                <w:rFonts w:ascii="Century Gothic" w:hAnsi="Century Gothic"/>
                <w:szCs w:val="18"/>
                <w:lang w:val="en-GB"/>
              </w:rPr>
              <w:t>Jul 2015 – Jun 2016</w:t>
            </w:r>
          </w:p>
        </w:tc>
        <w:tc>
          <w:tcPr>
            <w:tcW w:w="1850" w:type="pct"/>
            <w:shd w:val="clear" w:color="auto" w:fill="DBDBDB" w:themeFill="background2" w:themeFillTint="66"/>
          </w:tcPr>
          <w:p w14:paraId="0FD2AA4A" w14:textId="77777777" w:rsidR="00AC2EEB" w:rsidRPr="00E00301" w:rsidRDefault="00A66453" w:rsidP="00A66453">
            <w:pPr>
              <w:jc w:val="center"/>
              <w:rPr>
                <w:rFonts w:ascii="Century Gothic" w:hAnsi="Century Gothic"/>
                <w:szCs w:val="18"/>
                <w:lang w:val="en-GB"/>
              </w:rPr>
            </w:pPr>
            <w:r w:rsidRPr="00E00301">
              <w:rPr>
                <w:rFonts w:ascii="Century Gothic" w:hAnsi="Century Gothic"/>
                <w:szCs w:val="18"/>
                <w:lang w:val="en-GB"/>
              </w:rPr>
              <w:t>477</w:t>
            </w:r>
          </w:p>
        </w:tc>
        <w:tc>
          <w:tcPr>
            <w:tcW w:w="2104" w:type="pct"/>
            <w:shd w:val="clear" w:color="auto" w:fill="DBDBDB" w:themeFill="background2" w:themeFillTint="66"/>
          </w:tcPr>
          <w:p w14:paraId="1FDB9461" w14:textId="77777777" w:rsidR="00AC2EEB" w:rsidRPr="00E00301" w:rsidRDefault="00A66453" w:rsidP="00A41ECE">
            <w:pPr>
              <w:jc w:val="both"/>
              <w:rPr>
                <w:rFonts w:ascii="Century Gothic" w:hAnsi="Century Gothic"/>
                <w:szCs w:val="18"/>
                <w:lang w:val="en-GB"/>
              </w:rPr>
            </w:pPr>
            <w:r w:rsidRPr="00E00301">
              <w:rPr>
                <w:rFonts w:ascii="Century Gothic" w:hAnsi="Century Gothic"/>
                <w:szCs w:val="18"/>
                <w:lang w:val="en-GB"/>
              </w:rPr>
              <w:t>https://oriip.gov.mt/en/Documents/Reports/Annual%20Report%202016.pdf</w:t>
            </w:r>
          </w:p>
        </w:tc>
      </w:tr>
      <w:tr w:rsidR="007D22A1" w:rsidRPr="00340E44" w14:paraId="1BF66D2B" w14:textId="77777777" w:rsidTr="007D22A1">
        <w:tc>
          <w:tcPr>
            <w:tcW w:w="1046" w:type="pct"/>
            <w:shd w:val="clear" w:color="auto" w:fill="B8CCE4" w:themeFill="accent1" w:themeFillTint="66"/>
          </w:tcPr>
          <w:p w14:paraId="0BE7EF6A" w14:textId="77777777" w:rsidR="00AC2EEB" w:rsidRPr="00E00301" w:rsidRDefault="00BA6B76" w:rsidP="00A41ECE">
            <w:pPr>
              <w:jc w:val="both"/>
              <w:rPr>
                <w:rFonts w:ascii="Century Gothic" w:hAnsi="Century Gothic"/>
                <w:szCs w:val="18"/>
                <w:lang w:val="en-GB"/>
              </w:rPr>
            </w:pPr>
            <w:r w:rsidRPr="00E00301">
              <w:rPr>
                <w:rFonts w:ascii="Century Gothic" w:hAnsi="Century Gothic"/>
                <w:szCs w:val="18"/>
                <w:lang w:val="en-GB"/>
              </w:rPr>
              <w:t>Jul 2016 – Jun 2017</w:t>
            </w:r>
          </w:p>
        </w:tc>
        <w:tc>
          <w:tcPr>
            <w:tcW w:w="1850" w:type="pct"/>
            <w:shd w:val="clear" w:color="auto" w:fill="DBDBDB" w:themeFill="background2" w:themeFillTint="66"/>
          </w:tcPr>
          <w:p w14:paraId="5BD85F17" w14:textId="77777777" w:rsidR="00AC2EEB" w:rsidRPr="00E00301" w:rsidRDefault="009002F6" w:rsidP="00CB7169">
            <w:pPr>
              <w:jc w:val="center"/>
              <w:rPr>
                <w:rFonts w:ascii="Century Gothic" w:hAnsi="Century Gothic"/>
                <w:szCs w:val="18"/>
                <w:lang w:val="en-GB"/>
              </w:rPr>
            </w:pPr>
            <w:r w:rsidRPr="00E00301">
              <w:rPr>
                <w:rFonts w:ascii="Century Gothic" w:hAnsi="Century Gothic"/>
                <w:szCs w:val="18"/>
                <w:lang w:val="en-GB"/>
              </w:rPr>
              <w:t>1,023</w:t>
            </w:r>
          </w:p>
        </w:tc>
        <w:tc>
          <w:tcPr>
            <w:tcW w:w="2104" w:type="pct"/>
            <w:shd w:val="clear" w:color="auto" w:fill="DBDBDB" w:themeFill="background2" w:themeFillTint="66"/>
          </w:tcPr>
          <w:p w14:paraId="16C4EE4B" w14:textId="77777777" w:rsidR="00AC2EEB" w:rsidRPr="00E00301" w:rsidRDefault="009002F6" w:rsidP="00133AF6">
            <w:pPr>
              <w:jc w:val="both"/>
              <w:rPr>
                <w:rFonts w:ascii="Century Gothic" w:hAnsi="Century Gothic"/>
                <w:szCs w:val="18"/>
                <w:lang w:val="en-GB"/>
              </w:rPr>
            </w:pPr>
            <w:r w:rsidRPr="00E00301">
              <w:rPr>
                <w:rFonts w:ascii="Century Gothic" w:hAnsi="Century Gothic"/>
                <w:szCs w:val="18"/>
                <w:lang w:val="en-GB"/>
              </w:rPr>
              <w:t>https://oriip.gov.mt/en/Documents/Reports/Annual%20Report%202017.pdf</w:t>
            </w:r>
          </w:p>
        </w:tc>
      </w:tr>
    </w:tbl>
    <w:p w14:paraId="57C6CDC1" w14:textId="77777777" w:rsidR="00AC2EEB" w:rsidRPr="0044090D" w:rsidRDefault="00AC2EEB" w:rsidP="00A41ECE">
      <w:pPr>
        <w:pStyle w:val="MBT"/>
        <w:rPr>
          <w:lang w:val="en-GB"/>
        </w:rPr>
      </w:pPr>
    </w:p>
    <w:p w14:paraId="00D05BBB" w14:textId="77777777" w:rsidR="00C0699F" w:rsidRPr="0044090D" w:rsidRDefault="00C0699F" w:rsidP="00F46CE5">
      <w:pPr>
        <w:jc w:val="both"/>
        <w:rPr>
          <w:b/>
          <w:bCs/>
          <w:sz w:val="22"/>
          <w:szCs w:val="22"/>
          <w:lang w:val="en-GB"/>
        </w:rPr>
        <w:sectPr w:rsidR="00C0699F" w:rsidRPr="0044090D">
          <w:headerReference w:type="default" r:id="rId17"/>
          <w:footerReference w:type="default" r:id="rId18"/>
          <w:pgSz w:w="11906" w:h="16838"/>
          <w:pgMar w:top="1440" w:right="1440" w:bottom="1440" w:left="1440" w:header="708" w:footer="708" w:gutter="0"/>
          <w:cols w:space="708"/>
          <w:docGrid w:linePitch="360"/>
        </w:sectPr>
      </w:pPr>
    </w:p>
    <w:p w14:paraId="545BB6A7" w14:textId="7AA6B639" w:rsidR="00AC2EEB" w:rsidRDefault="00AC2EEB" w:rsidP="00340E44">
      <w:pPr>
        <w:pStyle w:val="MH1"/>
        <w:spacing w:after="0"/>
      </w:pPr>
      <w:bookmarkStart w:id="10" w:name="_Toc496124922"/>
      <w:bookmarkStart w:id="11" w:name="_Toc517766164"/>
      <w:r w:rsidRPr="0044090D">
        <w:lastRenderedPageBreak/>
        <w:t>Applicable criteria and verification procedures</w:t>
      </w:r>
      <w:bookmarkEnd w:id="10"/>
      <w:bookmarkEnd w:id="11"/>
    </w:p>
    <w:p w14:paraId="68A9B44C" w14:textId="77777777" w:rsidR="00340E44" w:rsidRPr="00340E44" w:rsidRDefault="00340E44" w:rsidP="00340E44">
      <w:pPr>
        <w:pStyle w:val="MBT"/>
        <w:rPr>
          <w:lang w:val="en-GB"/>
        </w:rPr>
      </w:pPr>
    </w:p>
    <w:p w14:paraId="5D7AF477" w14:textId="77777777" w:rsidR="0064105E" w:rsidRPr="00882C9A" w:rsidRDefault="00666448" w:rsidP="00340E44">
      <w:pPr>
        <w:pStyle w:val="MH2"/>
        <w:spacing w:after="0"/>
        <w:outlineLvl w:val="9"/>
      </w:pPr>
      <w:r w:rsidRPr="00882C9A">
        <w:t>Type of investment</w:t>
      </w:r>
      <w:r w:rsidR="001C22AD" w:rsidRPr="00882C9A">
        <w:rPr>
          <w:rStyle w:val="FootnoteReference"/>
          <w:b w:val="0"/>
        </w:rPr>
        <w:footnoteReference w:id="94"/>
      </w:r>
    </w:p>
    <w:p w14:paraId="51016FB1" w14:textId="77777777" w:rsidR="00AC2EEB" w:rsidRPr="0064105E" w:rsidRDefault="00AC2EEB" w:rsidP="00340E44">
      <w:pPr>
        <w:pStyle w:val="MBT"/>
        <w:rPr>
          <w:lang w:val="en-GB"/>
        </w:rPr>
      </w:pPr>
    </w:p>
    <w:tbl>
      <w:tblPr>
        <w:tblStyle w:val="TableGrid"/>
        <w:tblW w:w="5083"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2116"/>
        <w:gridCol w:w="6382"/>
        <w:gridCol w:w="4251"/>
        <w:gridCol w:w="1420"/>
      </w:tblGrid>
      <w:tr w:rsidR="003840DD" w:rsidRPr="00340E44" w14:paraId="07574392" w14:textId="77777777" w:rsidTr="003840DD">
        <w:tc>
          <w:tcPr>
            <w:tcW w:w="747" w:type="pct"/>
            <w:shd w:val="clear" w:color="auto" w:fill="B8CCE4" w:themeFill="accent1" w:themeFillTint="66"/>
          </w:tcPr>
          <w:p w14:paraId="3F26B9CF" w14:textId="77777777" w:rsidR="00AC2EEB" w:rsidRPr="00E00301" w:rsidRDefault="00AC2EEB" w:rsidP="00A41ECE">
            <w:pPr>
              <w:jc w:val="center"/>
              <w:rPr>
                <w:rFonts w:ascii="Century Gothic" w:hAnsi="Century Gothic"/>
                <w:b/>
                <w:bCs/>
                <w:szCs w:val="18"/>
                <w:lang w:val="en-GB"/>
              </w:rPr>
            </w:pPr>
            <w:bookmarkStart w:id="12" w:name="_Hlk496020552"/>
            <w:r w:rsidRPr="00E00301">
              <w:rPr>
                <w:rFonts w:ascii="Century Gothic" w:hAnsi="Century Gothic"/>
                <w:b/>
                <w:bCs/>
                <w:szCs w:val="18"/>
                <w:lang w:val="en-GB"/>
              </w:rPr>
              <w:t>Type of investment required</w:t>
            </w:r>
          </w:p>
          <w:p w14:paraId="4BB3123D" w14:textId="77777777" w:rsidR="00AC2EEB" w:rsidRPr="00E00301" w:rsidRDefault="00AC2EEB" w:rsidP="00A41ECE">
            <w:pPr>
              <w:rPr>
                <w:rFonts w:ascii="Century Gothic" w:hAnsi="Century Gothic"/>
                <w:bCs/>
                <w:i/>
                <w:color w:val="FF0000"/>
                <w:szCs w:val="18"/>
                <w:lang w:val="en-GB"/>
              </w:rPr>
            </w:pPr>
          </w:p>
          <w:p w14:paraId="2FCF9869" w14:textId="77777777" w:rsidR="00AC2EEB" w:rsidRPr="00E00301" w:rsidRDefault="00AC2EEB" w:rsidP="00A41ECE">
            <w:pPr>
              <w:rPr>
                <w:rFonts w:ascii="Century Gothic" w:hAnsi="Century Gothic"/>
                <w:bCs/>
                <w:szCs w:val="18"/>
                <w:lang w:val="en-GB"/>
              </w:rPr>
            </w:pPr>
          </w:p>
        </w:tc>
        <w:tc>
          <w:tcPr>
            <w:tcW w:w="2252" w:type="pct"/>
            <w:shd w:val="clear" w:color="auto" w:fill="B8CCE4" w:themeFill="accent1" w:themeFillTint="66"/>
          </w:tcPr>
          <w:p w14:paraId="4A16BD59"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Applicability of financial threshold</w:t>
            </w:r>
          </w:p>
          <w:p w14:paraId="656AEAED" w14:textId="77777777" w:rsidR="00AC2EEB" w:rsidRPr="00E00301" w:rsidRDefault="00AC2EEB" w:rsidP="00A41ECE">
            <w:pPr>
              <w:rPr>
                <w:rFonts w:ascii="Century Gothic" w:hAnsi="Century Gothic"/>
                <w:bCs/>
                <w:i/>
                <w:szCs w:val="18"/>
                <w:lang w:val="en-GB"/>
              </w:rPr>
            </w:pPr>
            <w:r w:rsidRPr="00E00301">
              <w:rPr>
                <w:rFonts w:ascii="Century Gothic" w:hAnsi="Century Gothic"/>
                <w:bCs/>
                <w:i/>
                <w:color w:val="FF0000"/>
                <w:szCs w:val="18"/>
                <w:lang w:val="en-GB"/>
              </w:rPr>
              <w:t xml:space="preserve"> </w:t>
            </w:r>
          </w:p>
        </w:tc>
        <w:tc>
          <w:tcPr>
            <w:tcW w:w="1500" w:type="pct"/>
            <w:shd w:val="clear" w:color="auto" w:fill="B8CCE4" w:themeFill="accent1" w:themeFillTint="66"/>
          </w:tcPr>
          <w:p w14:paraId="51C38001"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Procedure to verify the fulfilment of the investment criterion</w:t>
            </w:r>
          </w:p>
          <w:p w14:paraId="54129482" w14:textId="77777777" w:rsidR="00AC2EEB" w:rsidRPr="00E00301" w:rsidRDefault="00AC2EEB" w:rsidP="00A41ECE">
            <w:pPr>
              <w:jc w:val="center"/>
              <w:rPr>
                <w:rFonts w:ascii="Century Gothic" w:hAnsi="Century Gothic"/>
                <w:b/>
                <w:bCs/>
                <w:szCs w:val="18"/>
                <w:lang w:val="en-GB"/>
              </w:rPr>
            </w:pPr>
          </w:p>
          <w:p w14:paraId="67D81983" w14:textId="77777777" w:rsidR="00AC2EEB" w:rsidRPr="00E00301" w:rsidRDefault="00AC2EEB" w:rsidP="0080268D">
            <w:pPr>
              <w:pStyle w:val="ListParagraph"/>
              <w:contextualSpacing w:val="0"/>
              <w:jc w:val="left"/>
              <w:rPr>
                <w:rFonts w:ascii="Century Gothic" w:hAnsi="Century Gothic"/>
                <w:b/>
                <w:bCs/>
                <w:i/>
                <w:sz w:val="18"/>
                <w:szCs w:val="18"/>
              </w:rPr>
            </w:pPr>
            <w:r w:rsidRPr="00E00301">
              <w:rPr>
                <w:rFonts w:ascii="Century Gothic" w:hAnsi="Century Gothic"/>
                <w:i/>
                <w:color w:val="FF0000"/>
                <w:sz w:val="18"/>
                <w:szCs w:val="18"/>
              </w:rPr>
              <w:t xml:space="preserve"> </w:t>
            </w:r>
          </w:p>
        </w:tc>
        <w:tc>
          <w:tcPr>
            <w:tcW w:w="501" w:type="pct"/>
            <w:shd w:val="clear" w:color="auto" w:fill="B8CCE4" w:themeFill="accent1" w:themeFillTint="66"/>
          </w:tcPr>
          <w:p w14:paraId="6857B212" w14:textId="77777777" w:rsidR="00AC2EEB" w:rsidRPr="00E00301" w:rsidRDefault="00AC2EEB" w:rsidP="00272D85">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tr w:rsidR="003840DD" w:rsidRPr="003840DD" w14:paraId="0FC382BC" w14:textId="77777777" w:rsidTr="003840DD">
        <w:tc>
          <w:tcPr>
            <w:tcW w:w="747" w:type="pct"/>
            <w:shd w:val="clear" w:color="auto" w:fill="F2F2F2" w:themeFill="background1" w:themeFillShade="F2"/>
          </w:tcPr>
          <w:p w14:paraId="39C7E226" w14:textId="77777777" w:rsidR="007A1FB6" w:rsidRPr="00E00301" w:rsidRDefault="007A1FB6" w:rsidP="006E7346">
            <w:pPr>
              <w:jc w:val="both"/>
              <w:rPr>
                <w:rFonts w:ascii="Century Gothic" w:hAnsi="Century Gothic"/>
                <w:b/>
                <w:bCs/>
                <w:szCs w:val="18"/>
                <w:lang w:val="en-GB"/>
              </w:rPr>
            </w:pPr>
            <w:r w:rsidRPr="00E00301">
              <w:rPr>
                <w:rFonts w:ascii="Century Gothic" w:hAnsi="Century Gothic"/>
                <w:b/>
                <w:bCs/>
                <w:szCs w:val="18"/>
                <w:lang w:val="en-GB"/>
              </w:rPr>
              <w:t>M</w:t>
            </w:r>
            <w:r w:rsidR="00AA7FFE" w:rsidRPr="00E00301">
              <w:rPr>
                <w:rFonts w:ascii="Century Gothic" w:hAnsi="Century Gothic"/>
                <w:b/>
                <w:bCs/>
                <w:szCs w:val="18"/>
                <w:lang w:val="en-GB"/>
              </w:rPr>
              <w:t>ain applicant</w:t>
            </w:r>
            <w:r w:rsidRPr="00E00301">
              <w:rPr>
                <w:rFonts w:ascii="Century Gothic" w:hAnsi="Century Gothic"/>
                <w:b/>
                <w:bCs/>
                <w:szCs w:val="18"/>
                <w:lang w:val="en-GB"/>
              </w:rPr>
              <w:t>:</w:t>
            </w:r>
          </w:p>
          <w:p w14:paraId="443BA8CA" w14:textId="77777777" w:rsidR="007150E0" w:rsidRPr="00E00301" w:rsidRDefault="00AA7FFE" w:rsidP="006E7346">
            <w:pPr>
              <w:jc w:val="both"/>
              <w:rPr>
                <w:rFonts w:ascii="Century Gothic" w:hAnsi="Century Gothic"/>
                <w:bCs/>
                <w:szCs w:val="18"/>
                <w:lang w:val="en-GB"/>
              </w:rPr>
            </w:pPr>
            <w:r w:rsidRPr="00E00301">
              <w:rPr>
                <w:rFonts w:ascii="Century Gothic" w:hAnsi="Century Gothic"/>
                <w:bCs/>
                <w:szCs w:val="18"/>
                <w:lang w:val="en-GB"/>
              </w:rPr>
              <w:t xml:space="preserve"> </w:t>
            </w:r>
            <w:r w:rsidR="007A1FB6" w:rsidRPr="00E00301">
              <w:rPr>
                <w:rFonts w:ascii="Century Gothic" w:hAnsi="Century Gothic"/>
                <w:bCs/>
                <w:szCs w:val="18"/>
                <w:lang w:val="en-GB"/>
              </w:rPr>
              <w:t>- Investment</w:t>
            </w:r>
            <w:r w:rsidRPr="00E00301">
              <w:rPr>
                <w:rFonts w:ascii="Century Gothic" w:hAnsi="Century Gothic"/>
                <w:bCs/>
                <w:szCs w:val="18"/>
                <w:lang w:val="en-GB"/>
              </w:rPr>
              <w:t>, among others, in stocks, bonds, debentures, special purpose vehicles or other investment as provided from time to time by Identity Malta by means of a notice in the Gazette (Regulation 4(1)(e)</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p>
          <w:p w14:paraId="3FC7372F" w14:textId="77777777" w:rsidR="007150E0"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t>- Acquisition</w:t>
            </w:r>
            <w:r w:rsidR="007150E0" w:rsidRPr="00E00301">
              <w:rPr>
                <w:rFonts w:ascii="Century Gothic" w:hAnsi="Century Gothic"/>
                <w:bCs/>
                <w:szCs w:val="18"/>
                <w:lang w:val="en-GB"/>
              </w:rPr>
              <w:t xml:space="preserve"> or lease</w:t>
            </w:r>
            <w:r w:rsidRPr="00E00301">
              <w:rPr>
                <w:rFonts w:ascii="Century Gothic" w:hAnsi="Century Gothic"/>
                <w:bCs/>
                <w:szCs w:val="18"/>
                <w:lang w:val="en-GB"/>
              </w:rPr>
              <w:t xml:space="preserve"> of immovable property (Regulation</w:t>
            </w:r>
            <w:r w:rsidR="007150E0" w:rsidRPr="00E00301">
              <w:rPr>
                <w:rFonts w:ascii="Century Gothic" w:hAnsi="Century Gothic"/>
                <w:bCs/>
                <w:szCs w:val="18"/>
                <w:lang w:val="en-GB"/>
              </w:rPr>
              <w:t xml:space="preserve"> 7(5) of LN 47/2014)</w:t>
            </w:r>
          </w:p>
          <w:p w14:paraId="589CCBD5" w14:textId="77777777" w:rsidR="005646B8" w:rsidRPr="00E00301" w:rsidRDefault="005646B8" w:rsidP="006E7346">
            <w:pPr>
              <w:jc w:val="both"/>
              <w:rPr>
                <w:rFonts w:ascii="Century Gothic" w:hAnsi="Century Gothic"/>
                <w:bCs/>
                <w:szCs w:val="18"/>
                <w:lang w:val="en-GB"/>
              </w:rPr>
            </w:pPr>
          </w:p>
          <w:p w14:paraId="12448858" w14:textId="5345BEA2" w:rsidR="007A1FB6" w:rsidRPr="00382240" w:rsidRDefault="007A1FB6" w:rsidP="006E7346">
            <w:pPr>
              <w:jc w:val="both"/>
              <w:rPr>
                <w:rFonts w:ascii="Century Gothic" w:hAnsi="Century Gothic"/>
                <w:b/>
                <w:bCs/>
                <w:szCs w:val="18"/>
                <w:lang w:val="en-GB"/>
              </w:rPr>
            </w:pPr>
            <w:r w:rsidRPr="00E00301">
              <w:rPr>
                <w:rFonts w:ascii="Century Gothic" w:hAnsi="Century Gothic"/>
                <w:b/>
                <w:bCs/>
                <w:szCs w:val="18"/>
                <w:lang w:val="en-GB"/>
              </w:rPr>
              <w:t>All applicants</w:t>
            </w:r>
            <w:r w:rsidR="00D05237" w:rsidRPr="00E00301">
              <w:rPr>
                <w:rFonts w:ascii="Century Gothic" w:hAnsi="Century Gothic"/>
                <w:b/>
                <w:bCs/>
                <w:szCs w:val="18"/>
                <w:lang w:val="en-GB"/>
              </w:rPr>
              <w:t xml:space="preserve"> </w:t>
            </w:r>
            <w:r w:rsidR="00D05237" w:rsidRPr="00E00301">
              <w:rPr>
                <w:rFonts w:ascii="Century Gothic" w:hAnsi="Century Gothic"/>
                <w:bCs/>
                <w:szCs w:val="18"/>
                <w:lang w:val="en-GB"/>
              </w:rPr>
              <w:t>(main applicant and each dependant)</w:t>
            </w:r>
            <w:r w:rsidRPr="00E00301">
              <w:rPr>
                <w:rFonts w:ascii="Century Gothic" w:hAnsi="Century Gothic"/>
                <w:b/>
                <w:bCs/>
                <w:szCs w:val="18"/>
                <w:lang w:val="en-GB"/>
              </w:rPr>
              <w:t>:</w:t>
            </w:r>
          </w:p>
          <w:p w14:paraId="6A2F42E7" w14:textId="77777777" w:rsidR="005646B8"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t xml:space="preserve">- </w:t>
            </w:r>
            <w:r w:rsidR="00142CA7" w:rsidRPr="00E00301">
              <w:rPr>
                <w:rFonts w:ascii="Century Gothic" w:hAnsi="Century Gothic"/>
                <w:bCs/>
                <w:szCs w:val="18"/>
                <w:lang w:val="en-GB"/>
              </w:rPr>
              <w:t>Fulfilment of contribution requirement</w:t>
            </w:r>
            <w:r w:rsidRPr="00E00301">
              <w:rPr>
                <w:rFonts w:ascii="Century Gothic" w:hAnsi="Century Gothic"/>
                <w:bCs/>
                <w:szCs w:val="18"/>
                <w:lang w:val="en-GB"/>
              </w:rPr>
              <w:t xml:space="preserve"> set out in point 1 of the </w:t>
            </w:r>
            <w:r w:rsidR="007150E0" w:rsidRPr="00E00301">
              <w:rPr>
                <w:rFonts w:ascii="Century Gothic" w:hAnsi="Century Gothic"/>
                <w:bCs/>
                <w:szCs w:val="18"/>
                <w:lang w:val="en-GB"/>
              </w:rPr>
              <w:t xml:space="preserve">Schedule </w:t>
            </w:r>
            <w:r w:rsidRPr="00E00301">
              <w:rPr>
                <w:rFonts w:ascii="Century Gothic" w:hAnsi="Century Gothic"/>
                <w:bCs/>
                <w:szCs w:val="18"/>
                <w:lang w:val="en-GB"/>
              </w:rPr>
              <w:t>to LN 47/2014</w:t>
            </w:r>
          </w:p>
          <w:p w14:paraId="322674D5" w14:textId="77777777" w:rsidR="00C3220E" w:rsidRPr="00E00301" w:rsidRDefault="007A1FB6" w:rsidP="006E7346">
            <w:pPr>
              <w:jc w:val="both"/>
              <w:rPr>
                <w:rFonts w:ascii="Century Gothic" w:hAnsi="Century Gothic"/>
                <w:bCs/>
                <w:szCs w:val="18"/>
                <w:lang w:val="en-GB"/>
              </w:rPr>
            </w:pPr>
            <w:r w:rsidRPr="00E00301">
              <w:rPr>
                <w:rFonts w:ascii="Century Gothic" w:hAnsi="Century Gothic"/>
                <w:bCs/>
                <w:szCs w:val="18"/>
                <w:lang w:val="en-GB"/>
              </w:rPr>
              <w:lastRenderedPageBreak/>
              <w:t>- D</w:t>
            </w:r>
            <w:r w:rsidR="00C3220E" w:rsidRPr="00E00301">
              <w:rPr>
                <w:rFonts w:ascii="Century Gothic" w:hAnsi="Century Gothic"/>
                <w:bCs/>
                <w:szCs w:val="18"/>
                <w:lang w:val="en-GB"/>
              </w:rPr>
              <w:t xml:space="preserve">ue diligence fees; passport and bank charges fees set out in </w:t>
            </w:r>
            <w:r w:rsidRPr="00E00301">
              <w:rPr>
                <w:rFonts w:ascii="Century Gothic" w:hAnsi="Century Gothic"/>
                <w:bCs/>
                <w:szCs w:val="18"/>
                <w:lang w:val="en-GB"/>
              </w:rPr>
              <w:t>point 2 of the</w:t>
            </w:r>
            <w:r w:rsidR="00C3220E" w:rsidRPr="00E00301">
              <w:rPr>
                <w:rFonts w:ascii="Century Gothic" w:hAnsi="Century Gothic"/>
                <w:bCs/>
                <w:szCs w:val="18"/>
                <w:lang w:val="en-GB"/>
              </w:rPr>
              <w:t xml:space="preserve"> Schedule to LN 47/2014.</w:t>
            </w:r>
          </w:p>
          <w:p w14:paraId="085CCBDA" w14:textId="77777777" w:rsidR="007150E0" w:rsidRPr="00E00301" w:rsidRDefault="007150E0" w:rsidP="00C3220E">
            <w:pPr>
              <w:rPr>
                <w:rFonts w:ascii="Century Gothic" w:hAnsi="Century Gothic"/>
                <w:bCs/>
                <w:szCs w:val="18"/>
                <w:lang w:val="en-GB"/>
              </w:rPr>
            </w:pPr>
          </w:p>
          <w:p w14:paraId="6B050DB6" w14:textId="77777777" w:rsidR="00ED4455" w:rsidRPr="00E00301" w:rsidRDefault="00ED4455" w:rsidP="00ED4455">
            <w:pPr>
              <w:jc w:val="both"/>
              <w:rPr>
                <w:rFonts w:ascii="Century Gothic" w:hAnsi="Century Gothic"/>
                <w:bCs/>
                <w:szCs w:val="18"/>
                <w:lang w:val="en-GB"/>
              </w:rPr>
            </w:pPr>
            <w:r w:rsidRPr="00E00301">
              <w:rPr>
                <w:rFonts w:ascii="Century Gothic" w:hAnsi="Century Gothic"/>
                <w:bCs/>
                <w:szCs w:val="18"/>
                <w:lang w:val="en-GB"/>
              </w:rPr>
              <w:t>As regards the refund of fees and contributions, Regulation 8 of LN 47/2014, provides that:</w:t>
            </w:r>
          </w:p>
          <w:p w14:paraId="3BEBDCB4" w14:textId="77777777" w:rsidR="00ED4455" w:rsidRPr="00E00301" w:rsidRDefault="00ED4455" w:rsidP="00ED4455">
            <w:pPr>
              <w:pStyle w:val="ListParagraph"/>
              <w:numPr>
                <w:ilvl w:val="0"/>
                <w:numId w:val="26"/>
              </w:numPr>
              <w:rPr>
                <w:rFonts w:ascii="Century Gothic" w:hAnsi="Century Gothic"/>
                <w:bCs/>
                <w:sz w:val="18"/>
                <w:szCs w:val="18"/>
              </w:rPr>
            </w:pPr>
            <w:r w:rsidRPr="00E00301">
              <w:rPr>
                <w:rFonts w:ascii="Century Gothic" w:hAnsi="Century Gothic"/>
                <w:bCs/>
                <w:sz w:val="18"/>
                <w:szCs w:val="18"/>
              </w:rPr>
              <w:t xml:space="preserve">The due diligence and bank charges fees are not refundable, </w:t>
            </w:r>
          </w:p>
          <w:p w14:paraId="627EBA48" w14:textId="77777777" w:rsidR="00ED4455" w:rsidRPr="00E00301" w:rsidRDefault="00ED4455" w:rsidP="00ED4455">
            <w:pPr>
              <w:pStyle w:val="ListParagraph"/>
              <w:numPr>
                <w:ilvl w:val="0"/>
                <w:numId w:val="26"/>
              </w:numPr>
              <w:rPr>
                <w:rFonts w:ascii="Century Gothic" w:hAnsi="Century Gothic"/>
                <w:bCs/>
                <w:sz w:val="18"/>
                <w:szCs w:val="18"/>
              </w:rPr>
            </w:pPr>
            <w:r w:rsidRPr="00E00301">
              <w:rPr>
                <w:rFonts w:ascii="Century Gothic" w:hAnsi="Century Gothic"/>
                <w:bCs/>
                <w:sz w:val="18"/>
                <w:szCs w:val="18"/>
              </w:rPr>
              <w:t>The contribution balance, once received in Malta, is not refundable after the letter of approval in principle has been issued.</w:t>
            </w:r>
          </w:p>
          <w:p w14:paraId="32BD54A4" w14:textId="77777777" w:rsidR="00ED4455" w:rsidRPr="00E00301" w:rsidRDefault="00ED4455" w:rsidP="00ED4455">
            <w:pPr>
              <w:pStyle w:val="ListParagraph"/>
              <w:ind w:left="360"/>
              <w:rPr>
                <w:rFonts w:ascii="Century Gothic" w:hAnsi="Century Gothic"/>
                <w:bCs/>
                <w:sz w:val="18"/>
                <w:szCs w:val="18"/>
              </w:rPr>
            </w:pPr>
            <w:r w:rsidRPr="00E00301">
              <w:rPr>
                <w:rFonts w:ascii="Century Gothic" w:hAnsi="Century Gothic"/>
                <w:bCs/>
                <w:sz w:val="18"/>
                <w:szCs w:val="18"/>
              </w:rPr>
              <w:t xml:space="preserve"> </w:t>
            </w:r>
          </w:p>
          <w:p w14:paraId="2464F46B" w14:textId="77777777" w:rsidR="00ED4455" w:rsidRPr="00E00301" w:rsidRDefault="00ED4455" w:rsidP="003C31B7">
            <w:pPr>
              <w:jc w:val="both"/>
              <w:rPr>
                <w:rFonts w:ascii="Century Gothic" w:hAnsi="Century Gothic"/>
                <w:bCs/>
                <w:szCs w:val="18"/>
                <w:lang w:val="en-GB"/>
              </w:rPr>
            </w:pPr>
            <w:r w:rsidRPr="00E00301">
              <w:rPr>
                <w:rFonts w:ascii="Century Gothic" w:hAnsi="Century Gothic"/>
                <w:bCs/>
                <w:szCs w:val="18"/>
                <w:lang w:val="en-GB"/>
              </w:rPr>
              <w:t>Passport fees are refundable if passports have not been applied for.</w:t>
            </w:r>
          </w:p>
        </w:tc>
        <w:tc>
          <w:tcPr>
            <w:tcW w:w="2252" w:type="pct"/>
            <w:shd w:val="clear" w:color="auto" w:fill="F2F2F2" w:themeFill="background1" w:themeFillShade="F2"/>
          </w:tcPr>
          <w:p w14:paraId="6027A483" w14:textId="081FE3DF" w:rsidR="00B043E5" w:rsidRPr="00E00301" w:rsidRDefault="0093200E" w:rsidP="009569CF">
            <w:pPr>
              <w:jc w:val="both"/>
              <w:rPr>
                <w:rFonts w:ascii="Century Gothic" w:hAnsi="Century Gothic"/>
                <w:bCs/>
                <w:szCs w:val="18"/>
                <w:lang w:val="en-GB"/>
              </w:rPr>
            </w:pPr>
            <w:r w:rsidRPr="00E00301">
              <w:rPr>
                <w:rFonts w:ascii="Century Gothic" w:hAnsi="Century Gothic"/>
                <w:bCs/>
                <w:szCs w:val="18"/>
                <w:lang w:val="en-GB"/>
              </w:rPr>
              <w:lastRenderedPageBreak/>
              <w:t>The main applic</w:t>
            </w:r>
            <w:r w:rsidR="007A1FB6" w:rsidRPr="00E00301">
              <w:rPr>
                <w:rFonts w:ascii="Century Gothic" w:hAnsi="Century Gothic"/>
                <w:bCs/>
                <w:szCs w:val="18"/>
                <w:lang w:val="en-GB"/>
              </w:rPr>
              <w:t xml:space="preserve">ant must </w:t>
            </w:r>
            <w:r w:rsidR="00B043E5" w:rsidRPr="00E00301">
              <w:rPr>
                <w:rFonts w:ascii="Century Gothic" w:hAnsi="Century Gothic"/>
                <w:bCs/>
                <w:szCs w:val="18"/>
                <w:lang w:val="en-GB"/>
              </w:rPr>
              <w:t xml:space="preserve">acquire and </w:t>
            </w:r>
            <w:r w:rsidR="001B06C1" w:rsidRPr="00E00301">
              <w:rPr>
                <w:rFonts w:ascii="Century Gothic" w:hAnsi="Century Gothic"/>
                <w:bCs/>
                <w:szCs w:val="18"/>
                <w:lang w:val="en-GB"/>
              </w:rPr>
              <w:t>hold</w:t>
            </w:r>
            <w:r w:rsidR="00B043E5" w:rsidRPr="00E00301">
              <w:rPr>
                <w:rFonts w:ascii="Century Gothic" w:hAnsi="Century Gothic"/>
                <w:bCs/>
                <w:szCs w:val="18"/>
                <w:lang w:val="en-GB"/>
              </w:rPr>
              <w:t xml:space="preserve"> a </w:t>
            </w:r>
            <w:r w:rsidR="00B043E5" w:rsidRPr="00E00301">
              <w:rPr>
                <w:rFonts w:ascii="Century Gothic" w:hAnsi="Century Gothic"/>
                <w:b/>
                <w:bCs/>
                <w:szCs w:val="18"/>
                <w:lang w:val="en-GB"/>
              </w:rPr>
              <w:t>residential immovable property</w:t>
            </w:r>
            <w:r w:rsidR="00B043E5" w:rsidRPr="00E00301">
              <w:rPr>
                <w:rFonts w:ascii="Century Gothic" w:hAnsi="Century Gothic"/>
                <w:bCs/>
                <w:szCs w:val="18"/>
                <w:lang w:val="en-GB"/>
              </w:rPr>
              <w:t xml:space="preserve"> in Malta </w:t>
            </w:r>
            <w:r w:rsidR="001B06C1" w:rsidRPr="00E00301">
              <w:rPr>
                <w:rFonts w:ascii="Century Gothic" w:hAnsi="Century Gothic"/>
                <w:bCs/>
                <w:szCs w:val="18"/>
                <w:lang w:val="en-GB"/>
              </w:rPr>
              <w:t>having</w:t>
            </w:r>
            <w:r w:rsidR="00B043E5" w:rsidRPr="00E00301">
              <w:rPr>
                <w:rFonts w:ascii="Century Gothic" w:hAnsi="Century Gothic"/>
                <w:bCs/>
                <w:szCs w:val="18"/>
                <w:lang w:val="en-GB"/>
              </w:rPr>
              <w:t xml:space="preserve"> a minimum value of EUR 350,000; or (b) take on lease a residential immovable property for a mi</w:t>
            </w:r>
            <w:r w:rsidR="00D05237" w:rsidRPr="00E00301">
              <w:rPr>
                <w:rFonts w:ascii="Century Gothic" w:hAnsi="Century Gothic"/>
                <w:bCs/>
                <w:szCs w:val="18"/>
                <w:lang w:val="en-GB"/>
              </w:rPr>
              <w:t xml:space="preserve">nimum annual rent of EUR 16,000 </w:t>
            </w:r>
            <w:r w:rsidR="00B043E5" w:rsidRPr="00E00301">
              <w:rPr>
                <w:rFonts w:ascii="Century Gothic" w:hAnsi="Century Gothic"/>
                <w:bCs/>
                <w:szCs w:val="18"/>
                <w:lang w:val="en-GB"/>
              </w:rPr>
              <w:t>(</w:t>
            </w:r>
            <w:r w:rsidR="009569CF" w:rsidRPr="00E00301">
              <w:rPr>
                <w:rFonts w:ascii="Century Gothic" w:hAnsi="Century Gothic"/>
                <w:bCs/>
                <w:szCs w:val="18"/>
                <w:lang w:val="en-GB"/>
              </w:rPr>
              <w:t>Regulation</w:t>
            </w:r>
            <w:r w:rsidR="00B043E5" w:rsidRPr="00E00301">
              <w:rPr>
                <w:rFonts w:ascii="Century Gothic" w:hAnsi="Century Gothic"/>
                <w:bCs/>
                <w:szCs w:val="18"/>
                <w:lang w:val="en-GB"/>
              </w:rPr>
              <w:t xml:space="preserve"> 7(5)</w:t>
            </w:r>
            <w:r w:rsidR="009569CF" w:rsidRPr="00E00301">
              <w:rPr>
                <w:rFonts w:ascii="Century Gothic" w:hAnsi="Century Gothic"/>
                <w:bCs/>
                <w:szCs w:val="18"/>
                <w:lang w:val="en-GB"/>
              </w:rPr>
              <w:t xml:space="preserve"> of LN 47/2014</w:t>
            </w:r>
            <w:r w:rsidR="00B043E5" w:rsidRPr="00E00301">
              <w:rPr>
                <w:rFonts w:ascii="Century Gothic" w:hAnsi="Century Gothic"/>
                <w:bCs/>
                <w:szCs w:val="18"/>
                <w:lang w:val="en-GB"/>
              </w:rPr>
              <w:t>)</w:t>
            </w:r>
            <w:r w:rsidR="00D05237" w:rsidRPr="00E00301">
              <w:rPr>
                <w:rFonts w:ascii="Century Gothic" w:hAnsi="Century Gothic"/>
                <w:bCs/>
                <w:szCs w:val="18"/>
                <w:lang w:val="en-GB"/>
              </w:rPr>
              <w:t>.</w:t>
            </w:r>
            <w:r w:rsidR="00E630B5">
              <w:rPr>
                <w:rFonts w:ascii="Century Gothic" w:hAnsi="Century Gothic"/>
                <w:bCs/>
                <w:szCs w:val="18"/>
                <w:lang w:val="en-GB"/>
              </w:rPr>
              <w:t xml:space="preserve"> </w:t>
            </w:r>
          </w:p>
          <w:p w14:paraId="6BDF12CC" w14:textId="77777777" w:rsidR="00CB788C" w:rsidRPr="00E00301" w:rsidRDefault="00CB788C" w:rsidP="009569CF">
            <w:pPr>
              <w:jc w:val="both"/>
              <w:rPr>
                <w:rFonts w:ascii="Century Gothic" w:hAnsi="Century Gothic"/>
                <w:bCs/>
                <w:szCs w:val="18"/>
                <w:lang w:val="en-GB"/>
              </w:rPr>
            </w:pPr>
          </w:p>
          <w:p w14:paraId="67E11AD0" w14:textId="77777777" w:rsidR="00B043E5" w:rsidRPr="00E00301" w:rsidRDefault="009569CF" w:rsidP="009569CF">
            <w:pPr>
              <w:jc w:val="both"/>
              <w:rPr>
                <w:rFonts w:ascii="Century Gothic" w:hAnsi="Century Gothic"/>
                <w:bCs/>
                <w:szCs w:val="18"/>
                <w:lang w:val="en-GB"/>
              </w:rPr>
            </w:pPr>
            <w:r w:rsidRPr="00E00301">
              <w:rPr>
                <w:rFonts w:ascii="Century Gothic" w:hAnsi="Century Gothic"/>
                <w:bCs/>
                <w:szCs w:val="18"/>
                <w:lang w:val="en-GB"/>
              </w:rPr>
              <w:t>The</w:t>
            </w:r>
            <w:r w:rsidR="00B043E5" w:rsidRPr="00E00301">
              <w:rPr>
                <w:rFonts w:ascii="Century Gothic" w:hAnsi="Century Gothic"/>
                <w:bCs/>
                <w:szCs w:val="18"/>
                <w:lang w:val="en-GB"/>
              </w:rPr>
              <w:t xml:space="preserve"> main applicant</w:t>
            </w:r>
            <w:r w:rsidR="009544FB" w:rsidRPr="00E00301">
              <w:rPr>
                <w:rFonts w:ascii="Century Gothic" w:hAnsi="Century Gothic"/>
                <w:bCs/>
                <w:szCs w:val="18"/>
                <w:lang w:val="en-GB"/>
              </w:rPr>
              <w:t xml:space="preserve"> (therefore excluding dependants)</w:t>
            </w:r>
            <w:r w:rsidR="00B043E5" w:rsidRPr="00E00301">
              <w:rPr>
                <w:rFonts w:ascii="Century Gothic" w:hAnsi="Century Gothic"/>
                <w:bCs/>
                <w:szCs w:val="18"/>
                <w:lang w:val="en-GB"/>
              </w:rPr>
              <w:t xml:space="preserve"> must make </w:t>
            </w:r>
            <w:r w:rsidRPr="00E00301">
              <w:rPr>
                <w:rFonts w:ascii="Century Gothic" w:hAnsi="Century Gothic"/>
                <w:b/>
                <w:bCs/>
                <w:szCs w:val="18"/>
                <w:lang w:val="en-GB"/>
              </w:rPr>
              <w:t>investments</w:t>
            </w:r>
            <w:r w:rsidR="00B043E5" w:rsidRPr="00E00301">
              <w:rPr>
                <w:rFonts w:ascii="Century Gothic" w:hAnsi="Century Gothic"/>
                <w:bCs/>
                <w:szCs w:val="18"/>
                <w:lang w:val="en-GB"/>
              </w:rPr>
              <w:t xml:space="preserve"> in Malta to an amount</w:t>
            </w:r>
            <w:r w:rsidR="0093200E" w:rsidRPr="00E00301">
              <w:rPr>
                <w:rFonts w:ascii="Century Gothic" w:hAnsi="Century Gothic"/>
                <w:bCs/>
                <w:szCs w:val="18"/>
                <w:lang w:val="en-GB"/>
              </w:rPr>
              <w:t xml:space="preserve"> of EUR 150,000 </w:t>
            </w:r>
            <w:r w:rsidR="00F733C3" w:rsidRPr="00E00301">
              <w:rPr>
                <w:rFonts w:ascii="Century Gothic" w:hAnsi="Century Gothic"/>
                <w:bCs/>
                <w:szCs w:val="18"/>
                <w:lang w:val="en-GB"/>
              </w:rPr>
              <w:t>(Regulation 7(6)</w:t>
            </w:r>
            <w:r w:rsidR="00CE2434" w:rsidRPr="00E00301">
              <w:rPr>
                <w:rFonts w:ascii="Century Gothic" w:hAnsi="Century Gothic"/>
                <w:bCs/>
                <w:szCs w:val="18"/>
                <w:lang w:val="en-GB"/>
              </w:rPr>
              <w:t xml:space="preserve"> </w:t>
            </w:r>
            <w:r w:rsidRPr="00E00301">
              <w:rPr>
                <w:rFonts w:ascii="Century Gothic" w:hAnsi="Century Gothic"/>
                <w:bCs/>
                <w:szCs w:val="18"/>
                <w:lang w:val="en-GB"/>
              </w:rPr>
              <w:t>of LN 47/2014</w:t>
            </w:r>
            <w:r w:rsidR="00F733C3" w:rsidRPr="00E00301">
              <w:rPr>
                <w:rFonts w:ascii="Century Gothic" w:hAnsi="Century Gothic"/>
                <w:bCs/>
                <w:szCs w:val="18"/>
                <w:lang w:val="en-GB"/>
              </w:rPr>
              <w:t>)</w:t>
            </w:r>
            <w:r w:rsidR="00C3220E" w:rsidRPr="00E00301">
              <w:rPr>
                <w:rFonts w:ascii="Century Gothic" w:hAnsi="Century Gothic"/>
                <w:bCs/>
                <w:szCs w:val="18"/>
                <w:lang w:val="en-GB"/>
              </w:rPr>
              <w:t>.</w:t>
            </w:r>
          </w:p>
          <w:p w14:paraId="41CE7D65" w14:textId="77777777" w:rsidR="00C3220E" w:rsidRPr="00E00301" w:rsidRDefault="00C3220E" w:rsidP="009569CF">
            <w:pPr>
              <w:jc w:val="both"/>
              <w:rPr>
                <w:rFonts w:ascii="Century Gothic" w:hAnsi="Century Gothic"/>
                <w:bCs/>
                <w:szCs w:val="18"/>
                <w:lang w:val="en-GB"/>
              </w:rPr>
            </w:pPr>
          </w:p>
          <w:p w14:paraId="7DF16EFF" w14:textId="5F2CB8CB" w:rsidR="00C3220E" w:rsidRPr="00E00301" w:rsidRDefault="00C3220E" w:rsidP="00C3220E">
            <w:pPr>
              <w:jc w:val="both"/>
              <w:rPr>
                <w:rFonts w:ascii="Century Gothic" w:hAnsi="Century Gothic"/>
                <w:bCs/>
                <w:szCs w:val="18"/>
                <w:lang w:val="en-GB"/>
              </w:rPr>
            </w:pPr>
            <w:r w:rsidRPr="00E00301">
              <w:rPr>
                <w:rFonts w:ascii="Century Gothic" w:hAnsi="Century Gothic"/>
                <w:bCs/>
                <w:szCs w:val="18"/>
                <w:lang w:val="en-GB"/>
              </w:rPr>
              <w:t xml:space="preserve">The </w:t>
            </w:r>
            <w:r w:rsidRPr="00E00301">
              <w:rPr>
                <w:rFonts w:ascii="Century Gothic" w:hAnsi="Century Gothic"/>
                <w:b/>
                <w:bCs/>
                <w:szCs w:val="18"/>
                <w:lang w:val="en-GB"/>
              </w:rPr>
              <w:t>contribution requirements</w:t>
            </w:r>
            <w:r w:rsidRPr="00E00301">
              <w:rPr>
                <w:rFonts w:ascii="Century Gothic" w:hAnsi="Century Gothic"/>
                <w:bCs/>
                <w:szCs w:val="18"/>
                <w:lang w:val="en-GB"/>
              </w:rPr>
              <w:t xml:space="preserve"> set out in the Schedule to LN 47/2014 are as follows:</w:t>
            </w:r>
          </w:p>
          <w:p w14:paraId="323C18D6" w14:textId="77777777" w:rsidR="00ED5925" w:rsidRPr="00E00301" w:rsidRDefault="00C3220E" w:rsidP="00ED5925">
            <w:pPr>
              <w:pStyle w:val="ListParagraph"/>
              <w:numPr>
                <w:ilvl w:val="0"/>
                <w:numId w:val="25"/>
              </w:numPr>
              <w:rPr>
                <w:rFonts w:ascii="Century Gothic" w:hAnsi="Century Gothic"/>
                <w:bCs/>
                <w:sz w:val="18"/>
                <w:szCs w:val="18"/>
              </w:rPr>
            </w:pPr>
            <w:r w:rsidRPr="00E00301">
              <w:rPr>
                <w:rFonts w:ascii="Century Gothic" w:hAnsi="Century Gothic"/>
                <w:bCs/>
                <w:sz w:val="18"/>
                <w:szCs w:val="18"/>
              </w:rPr>
              <w:t>Main applicant: EUR 650,000 of which non-refundable payment of EUR 10,000 to be remitted as a non-refundable deposit prior to submission of the application</w:t>
            </w:r>
            <w:r w:rsidR="00D05237" w:rsidRPr="00E00301">
              <w:rPr>
                <w:rFonts w:ascii="Century Gothic" w:hAnsi="Century Gothic"/>
                <w:bCs/>
                <w:sz w:val="18"/>
                <w:szCs w:val="18"/>
              </w:rPr>
              <w:t xml:space="preserve"> (see </w:t>
            </w:r>
            <w:r w:rsidR="0064105E" w:rsidRPr="00E00301">
              <w:rPr>
                <w:rFonts w:ascii="Century Gothic" w:hAnsi="Century Gothic"/>
                <w:bCs/>
                <w:sz w:val="18"/>
                <w:szCs w:val="18"/>
              </w:rPr>
              <w:t>point</w:t>
            </w:r>
            <w:r w:rsidR="00D05237" w:rsidRPr="00E00301">
              <w:rPr>
                <w:rFonts w:ascii="Century Gothic" w:hAnsi="Century Gothic"/>
                <w:bCs/>
                <w:sz w:val="18"/>
                <w:szCs w:val="18"/>
              </w:rPr>
              <w:t xml:space="preserve"> 1.1 above regarding non-refundable deposit)</w:t>
            </w:r>
          </w:p>
          <w:p w14:paraId="4691884F" w14:textId="77777777" w:rsidR="00ED5925" w:rsidRPr="00E00301" w:rsidRDefault="00C3220E" w:rsidP="00ED5925">
            <w:pPr>
              <w:pStyle w:val="ListParagraph"/>
              <w:numPr>
                <w:ilvl w:val="0"/>
                <w:numId w:val="25"/>
              </w:numPr>
              <w:rPr>
                <w:rFonts w:ascii="Century Gothic" w:hAnsi="Century Gothic"/>
                <w:bCs/>
                <w:sz w:val="18"/>
                <w:szCs w:val="18"/>
              </w:rPr>
            </w:pPr>
            <w:r w:rsidRPr="00E00301">
              <w:rPr>
                <w:rFonts w:ascii="Century Gothic" w:hAnsi="Century Gothic"/>
                <w:bCs/>
                <w:sz w:val="18"/>
                <w:szCs w:val="18"/>
              </w:rPr>
              <w:t>Spouse: EUR 25,000</w:t>
            </w:r>
          </w:p>
          <w:p w14:paraId="58270BE0" w14:textId="77777777" w:rsidR="00ED5925" w:rsidRPr="00E00301" w:rsidRDefault="00C3220E" w:rsidP="00ED5925">
            <w:pPr>
              <w:pStyle w:val="ListParagraph"/>
              <w:numPr>
                <w:ilvl w:val="0"/>
                <w:numId w:val="25"/>
              </w:numPr>
              <w:rPr>
                <w:rFonts w:ascii="Century Gothic" w:hAnsi="Century Gothic"/>
                <w:bCs/>
                <w:sz w:val="18"/>
                <w:szCs w:val="18"/>
              </w:rPr>
            </w:pPr>
            <w:r w:rsidRPr="00E00301">
              <w:rPr>
                <w:rFonts w:ascii="Century Gothic" w:hAnsi="Century Gothic"/>
                <w:bCs/>
                <w:sz w:val="18"/>
                <w:szCs w:val="18"/>
              </w:rPr>
              <w:t>Each chi</w:t>
            </w:r>
            <w:r w:rsidR="00D05237" w:rsidRPr="00E00301">
              <w:rPr>
                <w:rFonts w:ascii="Century Gothic" w:hAnsi="Century Gothic"/>
                <w:bCs/>
                <w:sz w:val="18"/>
                <w:szCs w:val="18"/>
              </w:rPr>
              <w:t>l</w:t>
            </w:r>
            <w:r w:rsidRPr="00E00301">
              <w:rPr>
                <w:rFonts w:ascii="Century Gothic" w:hAnsi="Century Gothic"/>
                <w:bCs/>
                <w:sz w:val="18"/>
                <w:szCs w:val="18"/>
              </w:rPr>
              <w:t>d under 18 years of age: EUR 25,000</w:t>
            </w:r>
          </w:p>
          <w:p w14:paraId="6CFF6DA9" w14:textId="77777777" w:rsidR="00ED5925" w:rsidRPr="00E00301" w:rsidRDefault="00C3220E" w:rsidP="00ED5925">
            <w:pPr>
              <w:pStyle w:val="ListParagraph"/>
              <w:numPr>
                <w:ilvl w:val="0"/>
                <w:numId w:val="25"/>
              </w:numPr>
              <w:rPr>
                <w:rFonts w:ascii="Century Gothic" w:hAnsi="Century Gothic"/>
                <w:bCs/>
                <w:sz w:val="18"/>
                <w:szCs w:val="18"/>
              </w:rPr>
            </w:pPr>
            <w:r w:rsidRPr="00E00301">
              <w:rPr>
                <w:rFonts w:ascii="Century Gothic" w:hAnsi="Century Gothic"/>
                <w:bCs/>
                <w:sz w:val="18"/>
                <w:szCs w:val="18"/>
              </w:rPr>
              <w:t>Each unmarried child between 18 and 26 years of age: EUR 50,000</w:t>
            </w:r>
          </w:p>
          <w:p w14:paraId="1E1ECBB5" w14:textId="71A51382" w:rsidR="00C3220E" w:rsidRDefault="00C3220E" w:rsidP="00ED5925">
            <w:pPr>
              <w:pStyle w:val="ListParagraph"/>
              <w:numPr>
                <w:ilvl w:val="0"/>
                <w:numId w:val="25"/>
              </w:numPr>
              <w:rPr>
                <w:rFonts w:ascii="Century Gothic" w:hAnsi="Century Gothic"/>
                <w:bCs/>
                <w:sz w:val="18"/>
                <w:szCs w:val="18"/>
              </w:rPr>
            </w:pPr>
            <w:r w:rsidRPr="00E00301">
              <w:rPr>
                <w:rFonts w:ascii="Century Gothic" w:hAnsi="Century Gothic"/>
                <w:bCs/>
                <w:sz w:val="18"/>
                <w:szCs w:val="18"/>
              </w:rPr>
              <w:t>Each dependant parent above 55 years of age: EUR 50,000</w:t>
            </w:r>
            <w:r w:rsidR="007A1FB6" w:rsidRPr="00E00301">
              <w:rPr>
                <w:rFonts w:ascii="Century Gothic" w:hAnsi="Century Gothic"/>
                <w:bCs/>
                <w:sz w:val="18"/>
                <w:szCs w:val="18"/>
              </w:rPr>
              <w:t xml:space="preserve"> (it is noted that the Schedule does not mention dependant grandparents although these fall within the definition of dependants),</w:t>
            </w:r>
          </w:p>
          <w:p w14:paraId="64EA59A9" w14:textId="1CEEB4AA" w:rsidR="00D276B3" w:rsidRPr="00E00301" w:rsidRDefault="00D276B3" w:rsidP="009D33C1">
            <w:pPr>
              <w:pStyle w:val="ListParagraph"/>
              <w:ind w:left="360"/>
              <w:rPr>
                <w:rFonts w:ascii="Century Gothic" w:hAnsi="Century Gothic"/>
                <w:bCs/>
                <w:sz w:val="18"/>
                <w:szCs w:val="18"/>
              </w:rPr>
            </w:pPr>
            <w:r>
              <w:rPr>
                <w:rFonts w:ascii="Century Gothic" w:hAnsi="Century Gothic"/>
                <w:bCs/>
                <w:sz w:val="18"/>
                <w:szCs w:val="18"/>
              </w:rPr>
              <w:t>The contribution is paid directly to Identity Malta.</w:t>
            </w:r>
            <w:r w:rsidR="00813C18">
              <w:rPr>
                <w:rStyle w:val="FootnoteReference"/>
                <w:rFonts w:ascii="Century Gothic" w:hAnsi="Century Gothic"/>
                <w:bCs/>
                <w:sz w:val="18"/>
                <w:szCs w:val="18"/>
              </w:rPr>
              <w:footnoteReference w:id="95"/>
            </w:r>
          </w:p>
          <w:p w14:paraId="1E799408" w14:textId="77777777" w:rsidR="00C3220E" w:rsidRPr="00E00301" w:rsidRDefault="00C3220E" w:rsidP="009569CF">
            <w:pPr>
              <w:jc w:val="both"/>
              <w:rPr>
                <w:rFonts w:ascii="Century Gothic" w:hAnsi="Century Gothic"/>
                <w:bCs/>
                <w:szCs w:val="18"/>
                <w:lang w:val="en-GB"/>
              </w:rPr>
            </w:pPr>
          </w:p>
          <w:p w14:paraId="3930B001" w14:textId="77777777" w:rsidR="00C3220E" w:rsidRPr="00E00301" w:rsidRDefault="00C3220E" w:rsidP="009569CF">
            <w:pPr>
              <w:jc w:val="both"/>
              <w:rPr>
                <w:rFonts w:ascii="Century Gothic" w:hAnsi="Century Gothic"/>
                <w:bCs/>
                <w:szCs w:val="18"/>
                <w:lang w:val="en-GB"/>
              </w:rPr>
            </w:pPr>
            <w:r w:rsidRPr="00E00301">
              <w:rPr>
                <w:rFonts w:ascii="Century Gothic" w:hAnsi="Century Gothic"/>
                <w:bCs/>
                <w:szCs w:val="18"/>
                <w:lang w:val="en-GB"/>
              </w:rPr>
              <w:t xml:space="preserve">In addition the following </w:t>
            </w:r>
            <w:r w:rsidRPr="00E00301">
              <w:rPr>
                <w:rFonts w:ascii="Century Gothic" w:hAnsi="Century Gothic"/>
                <w:b/>
                <w:bCs/>
                <w:szCs w:val="18"/>
                <w:lang w:val="en-GB"/>
              </w:rPr>
              <w:t>fees</w:t>
            </w:r>
            <w:r w:rsidRPr="00E00301">
              <w:rPr>
                <w:rFonts w:ascii="Century Gothic" w:hAnsi="Century Gothic"/>
                <w:bCs/>
                <w:szCs w:val="18"/>
                <w:lang w:val="en-GB"/>
              </w:rPr>
              <w:t xml:space="preserve"> are payable under each application:</w:t>
            </w:r>
          </w:p>
          <w:p w14:paraId="1BDCD994" w14:textId="77777777" w:rsidR="00ED5925" w:rsidRPr="00E00301" w:rsidRDefault="00ED5925" w:rsidP="009569CF">
            <w:pPr>
              <w:jc w:val="both"/>
              <w:rPr>
                <w:rFonts w:ascii="Century Gothic" w:hAnsi="Century Gothic"/>
                <w:bCs/>
                <w:szCs w:val="18"/>
                <w:lang w:val="en-GB"/>
              </w:rPr>
            </w:pPr>
          </w:p>
          <w:p w14:paraId="0293B39F" w14:textId="77777777" w:rsidR="00C3220E" w:rsidRPr="00E00301" w:rsidRDefault="00C3220E" w:rsidP="00ED5925">
            <w:pPr>
              <w:pStyle w:val="ListParagraph"/>
              <w:numPr>
                <w:ilvl w:val="0"/>
                <w:numId w:val="19"/>
              </w:numPr>
              <w:rPr>
                <w:rFonts w:ascii="Century Gothic" w:hAnsi="Century Gothic"/>
                <w:bCs/>
                <w:sz w:val="18"/>
                <w:szCs w:val="18"/>
              </w:rPr>
            </w:pPr>
            <w:r w:rsidRPr="00E00301">
              <w:rPr>
                <w:rFonts w:ascii="Century Gothic" w:hAnsi="Century Gothic"/>
                <w:bCs/>
                <w:sz w:val="18"/>
                <w:szCs w:val="18"/>
              </w:rPr>
              <w:t>Due diligence fees:</w:t>
            </w:r>
          </w:p>
          <w:p w14:paraId="775E9EB8"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lastRenderedPageBreak/>
              <w:t>Main applicant: EUR 7,500</w:t>
            </w:r>
          </w:p>
          <w:p w14:paraId="03FBEF63"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t>Spouse: EUR 5,000</w:t>
            </w:r>
          </w:p>
          <w:p w14:paraId="731B5ACA"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t>Each chid between 13 and 18 years of age: EUR 3,000</w:t>
            </w:r>
          </w:p>
          <w:p w14:paraId="7B76EF91"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t>Each dependant unmarried child between 18 and 26 years of age: EUR 5,000</w:t>
            </w:r>
          </w:p>
          <w:p w14:paraId="1CD17501"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t>Each dependant parent above 55 years of age: EUR 5,000</w:t>
            </w:r>
            <w:r w:rsidR="00D05237" w:rsidRPr="00E00301">
              <w:rPr>
                <w:rFonts w:ascii="Century Gothic" w:hAnsi="Century Gothic"/>
                <w:bCs/>
                <w:sz w:val="18"/>
                <w:szCs w:val="18"/>
              </w:rPr>
              <w:t xml:space="preserve"> (it is noted that the Schedule does not mention dependant grandparents although these fall within the definition of dependants),</w:t>
            </w:r>
          </w:p>
          <w:p w14:paraId="2A826D6C" w14:textId="052E6A51" w:rsidR="00C3220E" w:rsidRDefault="00C3220E" w:rsidP="00C3220E">
            <w:pPr>
              <w:pStyle w:val="ListParagraph"/>
              <w:rPr>
                <w:rFonts w:ascii="Century Gothic" w:hAnsi="Century Gothic"/>
                <w:bCs/>
                <w:sz w:val="18"/>
                <w:szCs w:val="18"/>
              </w:rPr>
            </w:pPr>
          </w:p>
          <w:p w14:paraId="60B14C03" w14:textId="713F602A" w:rsidR="00D276B3" w:rsidRDefault="00D276B3" w:rsidP="00EB6C20">
            <w:pPr>
              <w:pStyle w:val="ListParagraph"/>
              <w:rPr>
                <w:rFonts w:ascii="Century Gothic" w:hAnsi="Century Gothic"/>
                <w:bCs/>
                <w:sz w:val="18"/>
                <w:szCs w:val="18"/>
              </w:rPr>
            </w:pPr>
            <w:r>
              <w:rPr>
                <w:rFonts w:ascii="Century Gothic" w:hAnsi="Century Gothic"/>
                <w:bCs/>
                <w:sz w:val="18"/>
                <w:szCs w:val="18"/>
              </w:rPr>
              <w:t>The legislation does not define what is covered by the due diligence fees. In practice, these fees cover Identity Malta’s expenses in engaging third party service provide</w:t>
            </w:r>
            <w:r w:rsidR="002D1B2B">
              <w:rPr>
                <w:rFonts w:ascii="Century Gothic" w:hAnsi="Century Gothic"/>
                <w:bCs/>
                <w:sz w:val="18"/>
                <w:szCs w:val="18"/>
              </w:rPr>
              <w:t>r</w:t>
            </w:r>
            <w:r>
              <w:rPr>
                <w:rFonts w:ascii="Century Gothic" w:hAnsi="Century Gothic"/>
                <w:bCs/>
                <w:sz w:val="18"/>
                <w:szCs w:val="18"/>
              </w:rPr>
              <w:t>s to carry out the due diligence processes described in point 2.4 below.</w:t>
            </w:r>
            <w:r>
              <w:rPr>
                <w:rStyle w:val="FootnoteReference"/>
                <w:rFonts w:ascii="Century Gothic" w:hAnsi="Century Gothic"/>
                <w:bCs/>
                <w:sz w:val="18"/>
                <w:szCs w:val="18"/>
              </w:rPr>
              <w:footnoteReference w:id="96"/>
            </w:r>
          </w:p>
          <w:p w14:paraId="5D261165" w14:textId="77777777" w:rsidR="00D276B3" w:rsidRPr="00E00301" w:rsidRDefault="00D276B3" w:rsidP="00C3220E">
            <w:pPr>
              <w:pStyle w:val="ListParagraph"/>
              <w:rPr>
                <w:rFonts w:ascii="Century Gothic" w:hAnsi="Century Gothic"/>
                <w:bCs/>
                <w:sz w:val="18"/>
                <w:szCs w:val="18"/>
              </w:rPr>
            </w:pPr>
          </w:p>
          <w:p w14:paraId="68AC9BB4" w14:textId="77777777" w:rsidR="00C3220E" w:rsidRPr="00E00301" w:rsidRDefault="00C3220E" w:rsidP="00ED5925">
            <w:pPr>
              <w:pStyle w:val="ListParagraph"/>
              <w:numPr>
                <w:ilvl w:val="0"/>
                <w:numId w:val="19"/>
              </w:numPr>
              <w:rPr>
                <w:rFonts w:ascii="Century Gothic" w:hAnsi="Century Gothic"/>
                <w:bCs/>
                <w:sz w:val="18"/>
                <w:szCs w:val="18"/>
              </w:rPr>
            </w:pPr>
            <w:r w:rsidRPr="00E00301">
              <w:rPr>
                <w:rFonts w:ascii="Century Gothic" w:hAnsi="Century Gothic"/>
                <w:bCs/>
                <w:sz w:val="18"/>
                <w:szCs w:val="18"/>
              </w:rPr>
              <w:t>Pass</w:t>
            </w:r>
            <w:r w:rsidR="000006EC" w:rsidRPr="00E00301">
              <w:rPr>
                <w:rFonts w:ascii="Century Gothic" w:hAnsi="Century Gothic"/>
                <w:bCs/>
                <w:sz w:val="18"/>
                <w:szCs w:val="18"/>
              </w:rPr>
              <w:t>port fees and bank charges fees</w:t>
            </w:r>
            <w:r w:rsidRPr="00E00301">
              <w:rPr>
                <w:rFonts w:ascii="Century Gothic" w:hAnsi="Century Gothic"/>
                <w:bCs/>
                <w:sz w:val="18"/>
                <w:szCs w:val="18"/>
              </w:rPr>
              <w:t>:</w:t>
            </w:r>
          </w:p>
          <w:p w14:paraId="40DE2F91" w14:textId="77777777" w:rsidR="00C3220E" w:rsidRPr="00E00301" w:rsidRDefault="00C3220E" w:rsidP="00ED5925">
            <w:pPr>
              <w:pStyle w:val="ListParagraph"/>
              <w:numPr>
                <w:ilvl w:val="0"/>
                <w:numId w:val="26"/>
              </w:numPr>
              <w:rPr>
                <w:rFonts w:ascii="Century Gothic" w:hAnsi="Century Gothic"/>
                <w:bCs/>
                <w:sz w:val="18"/>
                <w:szCs w:val="18"/>
              </w:rPr>
            </w:pPr>
            <w:r w:rsidRPr="00E00301">
              <w:rPr>
                <w:rFonts w:ascii="Century Gothic" w:hAnsi="Century Gothic"/>
                <w:bCs/>
                <w:sz w:val="18"/>
                <w:szCs w:val="18"/>
              </w:rPr>
              <w:t>Passport: EUR 500 per person</w:t>
            </w:r>
          </w:p>
          <w:p w14:paraId="301FCB10" w14:textId="77777777" w:rsidR="005334AF" w:rsidRDefault="00C3220E" w:rsidP="00ED4455">
            <w:pPr>
              <w:pStyle w:val="ListParagraph"/>
              <w:numPr>
                <w:ilvl w:val="0"/>
                <w:numId w:val="26"/>
              </w:numPr>
              <w:rPr>
                <w:rFonts w:ascii="Century Gothic" w:hAnsi="Century Gothic"/>
                <w:bCs/>
                <w:sz w:val="18"/>
                <w:szCs w:val="18"/>
              </w:rPr>
            </w:pPr>
            <w:r w:rsidRPr="00E00301">
              <w:rPr>
                <w:rFonts w:ascii="Century Gothic" w:hAnsi="Century Gothic"/>
                <w:bCs/>
                <w:sz w:val="18"/>
                <w:szCs w:val="18"/>
              </w:rPr>
              <w:t>Bank charges: EUR 200 per application</w:t>
            </w:r>
          </w:p>
          <w:p w14:paraId="16326CD6" w14:textId="27592EC2" w:rsidR="00382240" w:rsidRPr="009D33C1" w:rsidRDefault="00382240" w:rsidP="009D33C1">
            <w:pPr>
              <w:spacing w:before="240" w:after="60"/>
              <w:jc w:val="both"/>
              <w:outlineLvl w:val="4"/>
              <w:rPr>
                <w:rFonts w:ascii="Century Gothic" w:hAnsi="Century Gothic"/>
                <w:bCs/>
                <w:szCs w:val="18"/>
                <w:lang w:val="en-US"/>
              </w:rPr>
            </w:pPr>
            <w:r>
              <w:rPr>
                <w:rFonts w:ascii="Century Gothic" w:hAnsi="Century Gothic"/>
                <w:bCs/>
                <w:szCs w:val="18"/>
                <w:lang w:val="en-GB"/>
              </w:rPr>
              <w:t>The exact amount of money required to obtain Maltese citizenship through the IIP depends on the specific circumstances e.g. whether the application includes dependants or not and whether the property is owned or rented. By way of example, in the case of an application by a main applicant purchasing property in Malta and having no dependants</w:t>
            </w:r>
            <w:r w:rsidR="002D1B2B">
              <w:rPr>
                <w:rFonts w:ascii="Century Gothic" w:hAnsi="Century Gothic"/>
                <w:bCs/>
                <w:szCs w:val="18"/>
                <w:lang w:val="en-GB"/>
              </w:rPr>
              <w:t>,</w:t>
            </w:r>
            <w:r>
              <w:rPr>
                <w:rFonts w:ascii="Century Gothic" w:hAnsi="Century Gothic"/>
                <w:bCs/>
                <w:szCs w:val="18"/>
                <w:lang w:val="en-GB"/>
              </w:rPr>
              <w:t xml:space="preserve"> the total disbursement required would amount to EUR 1,158,200 (EUR 650,000 (contribution) + EUR 350,000 (property) + EUR 150,000 (investment) + EUR 7,500 (due diligence fees) + EUR 700 (passport fees and bank charges).</w:t>
            </w:r>
          </w:p>
          <w:p w14:paraId="5BE3A7C3" w14:textId="77777777" w:rsidR="00382240" w:rsidRPr="009D33C1" w:rsidRDefault="00382240" w:rsidP="00EB6C20">
            <w:pPr>
              <w:jc w:val="both"/>
              <w:rPr>
                <w:rFonts w:ascii="Century Gothic" w:hAnsi="Century Gothic"/>
                <w:bCs/>
                <w:szCs w:val="18"/>
                <w:lang w:val="en-US"/>
              </w:rPr>
            </w:pPr>
          </w:p>
          <w:p w14:paraId="26D3AC16" w14:textId="626A7B97" w:rsidR="00382240" w:rsidRPr="009D33C1" w:rsidRDefault="00382240" w:rsidP="00EB6C20">
            <w:pPr>
              <w:jc w:val="both"/>
              <w:rPr>
                <w:rFonts w:ascii="Century Gothic" w:hAnsi="Century Gothic"/>
                <w:bCs/>
                <w:szCs w:val="18"/>
                <w:lang w:val="en-US"/>
              </w:rPr>
            </w:pPr>
            <w:r w:rsidRPr="00382240">
              <w:rPr>
                <w:rFonts w:ascii="Century Gothic" w:hAnsi="Century Gothic"/>
                <w:bCs/>
                <w:szCs w:val="18"/>
                <w:lang w:val="en-US"/>
              </w:rPr>
              <w:t xml:space="preserve">The applicant must also pay the </w:t>
            </w:r>
            <w:r w:rsidRPr="007D436F">
              <w:rPr>
                <w:rFonts w:ascii="Century Gothic" w:hAnsi="Century Gothic"/>
                <w:bCs/>
                <w:szCs w:val="18"/>
                <w:lang w:val="en-US"/>
              </w:rPr>
              <w:t>Approved Agent’s fees. These are</w:t>
            </w:r>
            <w:r w:rsidRPr="00382240">
              <w:rPr>
                <w:rFonts w:ascii="Century Gothic" w:hAnsi="Century Gothic"/>
                <w:bCs/>
                <w:szCs w:val="18"/>
                <w:lang w:val="en-US"/>
              </w:rPr>
              <w:t xml:space="preserve"> determined by agreement between the agent and the client (applicant). It is therefore not possible to indicate the amount of these fees.</w:t>
            </w:r>
            <w:r w:rsidRPr="00382240">
              <w:rPr>
                <w:rStyle w:val="FootnoteReference"/>
                <w:rFonts w:ascii="Century Gothic" w:hAnsi="Century Gothic"/>
                <w:bCs/>
                <w:szCs w:val="18"/>
                <w:lang w:val="en-US"/>
              </w:rPr>
              <w:footnoteReference w:id="97"/>
            </w:r>
          </w:p>
        </w:tc>
        <w:tc>
          <w:tcPr>
            <w:tcW w:w="1500" w:type="pct"/>
            <w:shd w:val="clear" w:color="auto" w:fill="F2F2F2" w:themeFill="background1" w:themeFillShade="F2"/>
          </w:tcPr>
          <w:p w14:paraId="217D9CBD" w14:textId="77777777" w:rsidR="00AC2EEB" w:rsidRPr="00E00301" w:rsidRDefault="00B043E5" w:rsidP="009569CF">
            <w:pPr>
              <w:jc w:val="both"/>
              <w:rPr>
                <w:rFonts w:ascii="Century Gothic" w:hAnsi="Century Gothic"/>
                <w:bCs/>
                <w:szCs w:val="18"/>
                <w:lang w:val="en-GB"/>
              </w:rPr>
            </w:pPr>
            <w:r w:rsidRPr="00E00301">
              <w:rPr>
                <w:rFonts w:ascii="Century Gothic" w:hAnsi="Century Gothic"/>
                <w:b/>
                <w:bCs/>
                <w:szCs w:val="18"/>
                <w:lang w:val="en-GB"/>
              </w:rPr>
              <w:lastRenderedPageBreak/>
              <w:t>Evidence in relation to immovable property</w:t>
            </w:r>
            <w:r w:rsidRPr="00E00301">
              <w:rPr>
                <w:rFonts w:ascii="Century Gothic" w:hAnsi="Century Gothic"/>
                <w:bCs/>
                <w:szCs w:val="18"/>
                <w:lang w:val="en-GB"/>
              </w:rPr>
              <w:t xml:space="preserve"> must be provided wi</w:t>
            </w:r>
            <w:r w:rsidR="009569CF" w:rsidRPr="00E00301">
              <w:rPr>
                <w:rFonts w:ascii="Century Gothic" w:hAnsi="Century Gothic"/>
                <w:bCs/>
                <w:szCs w:val="18"/>
                <w:lang w:val="en-GB"/>
              </w:rPr>
              <w:t>thin four months from the issue</w:t>
            </w:r>
            <w:r w:rsidRPr="00E00301">
              <w:rPr>
                <w:rFonts w:ascii="Century Gothic" w:hAnsi="Century Gothic"/>
                <w:bCs/>
                <w:szCs w:val="18"/>
                <w:lang w:val="en-GB"/>
              </w:rPr>
              <w:t xml:space="preserve"> of the Letter of Approval in Principle by the submission of a contract of purchase or of lease to Identity Malta. The property cannot be let or sublet </w:t>
            </w:r>
            <w:r w:rsidR="009569CF" w:rsidRPr="00E00301">
              <w:rPr>
                <w:rFonts w:ascii="Century Gothic" w:hAnsi="Century Gothic"/>
                <w:bCs/>
                <w:szCs w:val="18"/>
                <w:lang w:val="en-GB"/>
              </w:rPr>
              <w:t>and must b</w:t>
            </w:r>
            <w:r w:rsidRPr="00E00301">
              <w:rPr>
                <w:rFonts w:ascii="Century Gothic" w:hAnsi="Century Gothic"/>
                <w:bCs/>
                <w:szCs w:val="18"/>
                <w:lang w:val="en-GB"/>
              </w:rPr>
              <w:t>e retained by the applicant for at least five years from the date of purchase or lease (Regulation 7(5)</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r w:rsidR="00F733C3" w:rsidRPr="00E00301">
              <w:rPr>
                <w:rFonts w:ascii="Century Gothic" w:hAnsi="Century Gothic"/>
                <w:bCs/>
                <w:szCs w:val="18"/>
                <w:lang w:val="en-GB"/>
              </w:rPr>
              <w:t>.</w:t>
            </w:r>
          </w:p>
          <w:p w14:paraId="6AF2C2D8" w14:textId="77777777" w:rsidR="00F733C3" w:rsidRPr="00E00301" w:rsidRDefault="00F733C3" w:rsidP="009569CF">
            <w:pPr>
              <w:jc w:val="both"/>
              <w:rPr>
                <w:rFonts w:ascii="Century Gothic" w:hAnsi="Century Gothic"/>
                <w:bCs/>
                <w:szCs w:val="18"/>
                <w:lang w:val="en-GB"/>
              </w:rPr>
            </w:pPr>
          </w:p>
          <w:p w14:paraId="7E29BD8B" w14:textId="4C856464" w:rsidR="00F733C3" w:rsidRPr="00E00301" w:rsidRDefault="00F733C3" w:rsidP="009569CF">
            <w:pPr>
              <w:jc w:val="both"/>
              <w:rPr>
                <w:rFonts w:ascii="Century Gothic" w:hAnsi="Century Gothic"/>
                <w:bCs/>
                <w:szCs w:val="18"/>
                <w:lang w:val="en-GB"/>
              </w:rPr>
            </w:pPr>
            <w:r w:rsidRPr="00E00301">
              <w:rPr>
                <w:rFonts w:ascii="Century Gothic" w:hAnsi="Century Gothic"/>
                <w:b/>
                <w:bCs/>
                <w:szCs w:val="18"/>
                <w:lang w:val="en-GB"/>
              </w:rPr>
              <w:t>Evidence as regards investment</w:t>
            </w:r>
            <w:r w:rsidRPr="00E00301">
              <w:rPr>
                <w:rFonts w:ascii="Century Gothic" w:hAnsi="Century Gothic"/>
                <w:bCs/>
                <w:szCs w:val="18"/>
                <w:lang w:val="en-GB"/>
              </w:rPr>
              <w:t xml:space="preserve"> must be provided within four months from the issue of the Letter of Approval in Principle by the submission to Identity Malta of proof that the said investments have been made</w:t>
            </w:r>
            <w:r w:rsidR="00ED5925" w:rsidRPr="00E00301">
              <w:rPr>
                <w:rFonts w:ascii="Century Gothic" w:hAnsi="Century Gothic"/>
                <w:bCs/>
                <w:szCs w:val="18"/>
                <w:lang w:val="en-GB"/>
              </w:rPr>
              <w:t>. The investments must be retained for at least five years</w:t>
            </w:r>
            <w:r w:rsidRPr="00E00301">
              <w:rPr>
                <w:rFonts w:ascii="Century Gothic" w:hAnsi="Century Gothic"/>
                <w:bCs/>
                <w:szCs w:val="18"/>
                <w:lang w:val="en-GB"/>
              </w:rPr>
              <w:t xml:space="preserve"> (</w:t>
            </w:r>
            <w:r w:rsidR="006C3500">
              <w:rPr>
                <w:rFonts w:ascii="Century Gothic" w:hAnsi="Century Gothic"/>
                <w:bCs/>
                <w:szCs w:val="18"/>
                <w:lang w:val="en-GB"/>
              </w:rPr>
              <w:t xml:space="preserve">Regulation </w:t>
            </w:r>
            <w:r w:rsidRPr="00E00301">
              <w:rPr>
                <w:rFonts w:ascii="Century Gothic" w:hAnsi="Century Gothic"/>
                <w:bCs/>
                <w:szCs w:val="18"/>
                <w:lang w:val="en-GB"/>
              </w:rPr>
              <w:t>7(6)</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p>
          <w:p w14:paraId="22597F0D" w14:textId="77777777" w:rsidR="00F733C3" w:rsidRPr="00E00301" w:rsidRDefault="00F733C3" w:rsidP="009569CF">
            <w:pPr>
              <w:jc w:val="both"/>
              <w:rPr>
                <w:rFonts w:ascii="Century Gothic" w:hAnsi="Century Gothic"/>
                <w:bCs/>
                <w:szCs w:val="18"/>
                <w:lang w:val="en-GB"/>
              </w:rPr>
            </w:pPr>
          </w:p>
          <w:p w14:paraId="5E6BCB72" w14:textId="26BAE7D9" w:rsidR="00ED5925" w:rsidRPr="00E00301" w:rsidRDefault="00ED5925" w:rsidP="009569CF">
            <w:pPr>
              <w:jc w:val="both"/>
              <w:rPr>
                <w:rFonts w:ascii="Century Gothic" w:hAnsi="Century Gothic"/>
                <w:bCs/>
                <w:szCs w:val="18"/>
                <w:lang w:val="en-GB"/>
              </w:rPr>
            </w:pPr>
            <w:r w:rsidRPr="00E00301">
              <w:rPr>
                <w:rFonts w:ascii="Century Gothic" w:hAnsi="Century Gothic"/>
                <w:bCs/>
                <w:szCs w:val="18"/>
                <w:lang w:val="en-GB"/>
              </w:rPr>
              <w:t>The law does not specify the frequency at which checks in relation to</w:t>
            </w:r>
            <w:r w:rsidR="009D33C1">
              <w:rPr>
                <w:rFonts w:ascii="Century Gothic" w:hAnsi="Century Gothic"/>
                <w:bCs/>
                <w:szCs w:val="18"/>
                <w:lang w:val="en-GB"/>
              </w:rPr>
              <w:t xml:space="preserve"> the investment requirement and</w:t>
            </w:r>
            <w:r w:rsidR="00951E57">
              <w:rPr>
                <w:rFonts w:ascii="Century Gothic" w:hAnsi="Century Gothic"/>
                <w:bCs/>
                <w:szCs w:val="18"/>
                <w:lang w:val="en-GB"/>
              </w:rPr>
              <w:t xml:space="preserve"> whether the </w:t>
            </w:r>
            <w:r w:rsidR="009D33C1">
              <w:rPr>
                <w:rFonts w:ascii="Century Gothic" w:hAnsi="Century Gothic"/>
                <w:bCs/>
                <w:szCs w:val="18"/>
                <w:lang w:val="en-GB"/>
              </w:rPr>
              <w:t xml:space="preserve">immovable property is still held by the applicant or whether the </w:t>
            </w:r>
            <w:r w:rsidR="00951E57">
              <w:rPr>
                <w:rFonts w:ascii="Century Gothic" w:hAnsi="Century Gothic"/>
                <w:bCs/>
                <w:szCs w:val="18"/>
                <w:lang w:val="en-GB"/>
              </w:rPr>
              <w:t xml:space="preserve">applicant is physically present </w:t>
            </w:r>
            <w:r w:rsidR="009D33C1">
              <w:rPr>
                <w:rFonts w:ascii="Century Gothic" w:hAnsi="Century Gothic"/>
                <w:bCs/>
                <w:szCs w:val="18"/>
                <w:lang w:val="en-GB"/>
              </w:rPr>
              <w:t>there</w:t>
            </w:r>
            <w:r w:rsidRPr="00E00301">
              <w:rPr>
                <w:rFonts w:ascii="Century Gothic" w:hAnsi="Century Gothic"/>
                <w:bCs/>
                <w:szCs w:val="18"/>
                <w:lang w:val="en-GB"/>
              </w:rPr>
              <w:t xml:space="preserve"> </w:t>
            </w:r>
            <w:r w:rsidRPr="00EB6C20">
              <w:rPr>
                <w:rFonts w:ascii="Century Gothic" w:hAnsi="Century Gothic"/>
                <w:bCs/>
                <w:szCs w:val="18"/>
                <w:lang w:val="en-GB"/>
              </w:rPr>
              <w:t>are to be carried out.</w:t>
            </w:r>
            <w:r w:rsidR="0080268D" w:rsidRPr="00EB6C20">
              <w:rPr>
                <w:rFonts w:ascii="Century Gothic" w:hAnsi="Century Gothic"/>
                <w:bCs/>
                <w:szCs w:val="18"/>
                <w:lang w:val="en-GB"/>
              </w:rPr>
              <w:t xml:space="preserve"> At present (</w:t>
            </w:r>
            <w:r w:rsidR="00EB6C20">
              <w:rPr>
                <w:rFonts w:ascii="Century Gothic" w:hAnsi="Century Gothic"/>
                <w:bCs/>
                <w:szCs w:val="18"/>
                <w:lang w:val="en-GB"/>
              </w:rPr>
              <w:t>March</w:t>
            </w:r>
            <w:r w:rsidR="0080268D" w:rsidRPr="00EB6C20">
              <w:rPr>
                <w:rFonts w:ascii="Century Gothic" w:hAnsi="Century Gothic"/>
                <w:bCs/>
                <w:szCs w:val="18"/>
                <w:lang w:val="en-GB"/>
              </w:rPr>
              <w:t xml:space="preserve"> 2018), a</w:t>
            </w:r>
            <w:r w:rsidR="00E30D93" w:rsidRPr="00EB6C20">
              <w:rPr>
                <w:rFonts w:ascii="Century Gothic" w:hAnsi="Century Gothic"/>
                <w:bCs/>
                <w:szCs w:val="18"/>
                <w:lang w:val="en-GB"/>
              </w:rPr>
              <w:t xml:space="preserve"> compl</w:t>
            </w:r>
            <w:r w:rsidR="0080268D" w:rsidRPr="00EB6C20">
              <w:rPr>
                <w:rFonts w:ascii="Century Gothic" w:hAnsi="Century Gothic"/>
                <w:bCs/>
                <w:szCs w:val="18"/>
                <w:lang w:val="en-GB"/>
              </w:rPr>
              <w:t>iance mechanism is not in place.</w:t>
            </w:r>
          </w:p>
          <w:p w14:paraId="6868B751" w14:textId="77777777" w:rsidR="00ED5925" w:rsidRPr="00E00301" w:rsidRDefault="00ED5925" w:rsidP="009569CF">
            <w:pPr>
              <w:jc w:val="both"/>
              <w:rPr>
                <w:rFonts w:ascii="Century Gothic" w:hAnsi="Century Gothic"/>
                <w:bCs/>
                <w:szCs w:val="18"/>
                <w:lang w:val="en-GB"/>
              </w:rPr>
            </w:pPr>
          </w:p>
          <w:p w14:paraId="144D95A4" w14:textId="25E702AD" w:rsidR="00F733C3" w:rsidRPr="00E00301" w:rsidRDefault="00142CA7" w:rsidP="009569CF">
            <w:pPr>
              <w:jc w:val="both"/>
              <w:rPr>
                <w:rFonts w:ascii="Century Gothic" w:hAnsi="Century Gothic"/>
                <w:bCs/>
                <w:szCs w:val="18"/>
                <w:lang w:val="en-GB"/>
              </w:rPr>
            </w:pPr>
            <w:r w:rsidRPr="00E00301">
              <w:rPr>
                <w:rFonts w:ascii="Century Gothic" w:hAnsi="Century Gothic"/>
                <w:bCs/>
                <w:szCs w:val="18"/>
                <w:lang w:val="en-GB"/>
              </w:rPr>
              <w:lastRenderedPageBreak/>
              <w:t xml:space="preserve">The main applicant will receive instructions for </w:t>
            </w:r>
            <w:r w:rsidRPr="00E00301">
              <w:rPr>
                <w:rFonts w:ascii="Century Gothic" w:hAnsi="Century Gothic"/>
                <w:b/>
                <w:bCs/>
                <w:szCs w:val="18"/>
                <w:lang w:val="en-GB"/>
              </w:rPr>
              <w:t>remittance of the contribution</w:t>
            </w:r>
            <w:r w:rsidRPr="00E00301">
              <w:rPr>
                <w:rFonts w:ascii="Century Gothic" w:hAnsi="Century Gothic"/>
                <w:bCs/>
                <w:szCs w:val="18"/>
                <w:lang w:val="en-GB"/>
              </w:rPr>
              <w:t xml:space="preserve"> less the non-refundable payment already received w</w:t>
            </w:r>
            <w:r w:rsidR="00F733C3" w:rsidRPr="00E00301">
              <w:rPr>
                <w:rFonts w:ascii="Century Gothic" w:hAnsi="Century Gothic"/>
                <w:bCs/>
                <w:szCs w:val="18"/>
                <w:lang w:val="en-GB"/>
              </w:rPr>
              <w:t>ithin five days of the approval in principle</w:t>
            </w:r>
            <w:r w:rsidRPr="00E00301">
              <w:rPr>
                <w:rFonts w:ascii="Century Gothic" w:hAnsi="Century Gothic"/>
                <w:bCs/>
                <w:szCs w:val="18"/>
                <w:lang w:val="en-GB"/>
              </w:rPr>
              <w:t xml:space="preserve">. The contribution must </w:t>
            </w:r>
            <w:r w:rsidR="00F733C3" w:rsidRPr="00E00301">
              <w:rPr>
                <w:rFonts w:ascii="Century Gothic" w:hAnsi="Century Gothic"/>
                <w:bCs/>
                <w:szCs w:val="18"/>
                <w:lang w:val="en-GB"/>
              </w:rPr>
              <w:t>be received within twenty days from such instruction. Upon receipt</w:t>
            </w:r>
            <w:r w:rsidR="00ED5925" w:rsidRPr="00E00301">
              <w:rPr>
                <w:rFonts w:ascii="Century Gothic" w:hAnsi="Century Gothic"/>
                <w:bCs/>
                <w:szCs w:val="18"/>
                <w:lang w:val="en-GB"/>
              </w:rPr>
              <w:t>,</w:t>
            </w:r>
            <w:r w:rsidR="00F733C3" w:rsidRPr="00E00301">
              <w:rPr>
                <w:rFonts w:ascii="Century Gothic" w:hAnsi="Century Gothic"/>
                <w:bCs/>
                <w:szCs w:val="18"/>
                <w:lang w:val="en-GB"/>
              </w:rPr>
              <w:t xml:space="preserve"> Identity</w:t>
            </w:r>
            <w:r w:rsidR="009569CF" w:rsidRPr="00E00301">
              <w:rPr>
                <w:rFonts w:ascii="Century Gothic" w:hAnsi="Century Gothic"/>
                <w:bCs/>
                <w:szCs w:val="18"/>
                <w:lang w:val="en-GB"/>
              </w:rPr>
              <w:t xml:space="preserve"> Malta will, provided</w:t>
            </w:r>
            <w:r w:rsidR="00F733C3" w:rsidRPr="00E00301">
              <w:rPr>
                <w:rFonts w:ascii="Century Gothic" w:hAnsi="Century Gothic"/>
                <w:bCs/>
                <w:szCs w:val="18"/>
                <w:lang w:val="en-GB"/>
              </w:rPr>
              <w:t xml:space="preserve"> the conditions of the Letter of Approval in Principle have been satisfied, notify the Minister to issue </w:t>
            </w:r>
            <w:r w:rsidRPr="00E00301">
              <w:rPr>
                <w:rFonts w:ascii="Century Gothic" w:hAnsi="Century Gothic"/>
                <w:bCs/>
                <w:szCs w:val="18"/>
                <w:lang w:val="en-GB"/>
              </w:rPr>
              <w:t>a certificate of naturalisation</w:t>
            </w:r>
            <w:r w:rsidR="00F733C3" w:rsidRPr="00E00301">
              <w:rPr>
                <w:rFonts w:ascii="Century Gothic" w:hAnsi="Century Gothic"/>
                <w:bCs/>
                <w:szCs w:val="18"/>
                <w:lang w:val="en-GB"/>
              </w:rPr>
              <w:t xml:space="preserve"> (Regulation 7(8)</w:t>
            </w:r>
            <w:r w:rsidR="009569CF" w:rsidRPr="00E00301">
              <w:rPr>
                <w:rFonts w:ascii="Century Gothic" w:hAnsi="Century Gothic"/>
                <w:bCs/>
                <w:szCs w:val="18"/>
                <w:lang w:val="en-GB"/>
              </w:rPr>
              <w:t xml:space="preserve"> of LN 47/2014</w:t>
            </w:r>
            <w:r w:rsidR="00F733C3" w:rsidRPr="00E00301">
              <w:rPr>
                <w:rFonts w:ascii="Century Gothic" w:hAnsi="Century Gothic"/>
                <w:bCs/>
                <w:szCs w:val="18"/>
                <w:lang w:val="en-GB"/>
              </w:rPr>
              <w:t>).</w:t>
            </w:r>
            <w:r w:rsidR="002A2BEC">
              <w:rPr>
                <w:rFonts w:ascii="Century Gothic" w:hAnsi="Century Gothic"/>
                <w:bCs/>
                <w:szCs w:val="18"/>
                <w:lang w:val="en-GB"/>
              </w:rPr>
              <w:t xml:space="preserve"> The provisions of the Anti-Money Laundering Directive are applied in verifying the source of funds for the contribution (see further details in point 2.4 below).</w:t>
            </w:r>
          </w:p>
          <w:p w14:paraId="7F7267AD" w14:textId="77777777" w:rsidR="00F733C3" w:rsidRPr="00E00301" w:rsidRDefault="00F733C3" w:rsidP="009569CF">
            <w:pPr>
              <w:jc w:val="both"/>
              <w:rPr>
                <w:rFonts w:ascii="Century Gothic" w:hAnsi="Century Gothic"/>
                <w:bCs/>
                <w:szCs w:val="18"/>
                <w:lang w:val="en-GB"/>
              </w:rPr>
            </w:pPr>
          </w:p>
          <w:p w14:paraId="01C4AA64" w14:textId="05EDAF25" w:rsidR="003840DD" w:rsidRDefault="002A2BEC" w:rsidP="00272D85">
            <w:pPr>
              <w:jc w:val="both"/>
              <w:rPr>
                <w:rFonts w:ascii="Century Gothic" w:hAnsi="Century Gothic"/>
                <w:bCs/>
                <w:szCs w:val="18"/>
                <w:lang w:val="en-GB"/>
              </w:rPr>
            </w:pPr>
            <w:r w:rsidRPr="00E00301">
              <w:rPr>
                <w:rFonts w:ascii="Century Gothic" w:hAnsi="Century Gothic"/>
                <w:bCs/>
                <w:szCs w:val="18"/>
                <w:lang w:val="en-GB"/>
              </w:rPr>
              <w:t>Regulation 7(10) of LN 47/2014</w:t>
            </w:r>
            <w:r w:rsidR="003840DD">
              <w:rPr>
                <w:rFonts w:ascii="Century Gothic" w:hAnsi="Century Gothic"/>
                <w:bCs/>
                <w:szCs w:val="18"/>
                <w:lang w:val="en-GB"/>
              </w:rPr>
              <w:t xml:space="preserve"> states that w</w:t>
            </w:r>
            <w:r w:rsidR="009569CF" w:rsidRPr="00E00301">
              <w:rPr>
                <w:rFonts w:ascii="Century Gothic" w:hAnsi="Century Gothic"/>
                <w:bCs/>
                <w:szCs w:val="18"/>
                <w:lang w:val="en-GB"/>
              </w:rPr>
              <w:t>ithin five days of issuance of</w:t>
            </w:r>
            <w:r w:rsidR="00F733C3" w:rsidRPr="00E00301">
              <w:rPr>
                <w:rFonts w:ascii="Century Gothic" w:hAnsi="Century Gothic"/>
                <w:bCs/>
                <w:szCs w:val="18"/>
                <w:lang w:val="en-GB"/>
              </w:rPr>
              <w:t xml:space="preserve"> the certificates, the concessionaire must complete the necessary </w:t>
            </w:r>
            <w:r w:rsidR="00F733C3" w:rsidRPr="00E00301">
              <w:rPr>
                <w:rFonts w:ascii="Century Gothic" w:hAnsi="Century Gothic"/>
                <w:b/>
                <w:bCs/>
                <w:szCs w:val="18"/>
                <w:lang w:val="en-GB"/>
              </w:rPr>
              <w:t>disbursement of the contribution</w:t>
            </w:r>
            <w:r w:rsidR="00F733C3" w:rsidRPr="00E00301">
              <w:rPr>
                <w:rFonts w:ascii="Century Gothic" w:hAnsi="Century Gothic"/>
                <w:bCs/>
                <w:szCs w:val="18"/>
                <w:lang w:val="en-GB"/>
              </w:rPr>
              <w:t xml:space="preserve"> to Identity Malta and must </w:t>
            </w:r>
            <w:r w:rsidR="000B68F0" w:rsidRPr="00E00301">
              <w:rPr>
                <w:rFonts w:ascii="Century Gothic" w:hAnsi="Century Gothic"/>
                <w:bCs/>
                <w:szCs w:val="18"/>
                <w:lang w:val="en-GB"/>
              </w:rPr>
              <w:t>retain the amount due to the concessionaire</w:t>
            </w:r>
            <w:r w:rsidR="0080268D" w:rsidRPr="00E00301">
              <w:rPr>
                <w:rFonts w:ascii="Century Gothic" w:hAnsi="Century Gothic"/>
                <w:bCs/>
                <w:szCs w:val="18"/>
                <w:lang w:val="en-GB"/>
              </w:rPr>
              <w:t xml:space="preserve"> (6 per cent Identity Malta and 4 per cent</w:t>
            </w:r>
            <w:r w:rsidR="00E30D93" w:rsidRPr="00E00301">
              <w:rPr>
                <w:rFonts w:ascii="Century Gothic" w:hAnsi="Century Gothic"/>
                <w:bCs/>
                <w:szCs w:val="18"/>
                <w:lang w:val="en-GB"/>
              </w:rPr>
              <w:t xml:space="preserve"> the concessionaire)</w:t>
            </w:r>
            <w:r w:rsidR="000B68F0" w:rsidRPr="00E00301">
              <w:rPr>
                <w:rFonts w:ascii="Century Gothic" w:hAnsi="Century Gothic"/>
                <w:bCs/>
                <w:szCs w:val="18"/>
                <w:lang w:val="en-GB"/>
              </w:rPr>
              <w:t xml:space="preserve">. </w:t>
            </w:r>
            <w:r w:rsidR="003840DD">
              <w:rPr>
                <w:rFonts w:ascii="Century Gothic" w:hAnsi="Century Gothic"/>
                <w:bCs/>
                <w:szCs w:val="18"/>
                <w:lang w:val="en-GB"/>
              </w:rPr>
              <w:t>In practice, given the more limited role now given to the concessionaire (as explained in point 1.2 above), the funds for the contribution are paid directly from the main applicant’s account into Identity Malta’s account</w:t>
            </w:r>
            <w:r w:rsidR="003840DD">
              <w:rPr>
                <w:rStyle w:val="FootnoteReference"/>
                <w:rFonts w:ascii="Century Gothic" w:hAnsi="Century Gothic"/>
                <w:bCs/>
                <w:szCs w:val="18"/>
                <w:lang w:val="en-GB"/>
              </w:rPr>
              <w:footnoteReference w:id="98"/>
            </w:r>
            <w:r w:rsidR="003840DD">
              <w:rPr>
                <w:rFonts w:ascii="Century Gothic" w:hAnsi="Century Gothic"/>
                <w:bCs/>
                <w:szCs w:val="18"/>
                <w:lang w:val="en-GB"/>
              </w:rPr>
              <w:t xml:space="preserve"> (see information in point 2.4. below).</w:t>
            </w:r>
          </w:p>
          <w:p w14:paraId="54C1CF7C" w14:textId="77777777" w:rsidR="003840DD" w:rsidRDefault="003840DD" w:rsidP="00272D85">
            <w:pPr>
              <w:jc w:val="both"/>
              <w:rPr>
                <w:rFonts w:ascii="Century Gothic" w:hAnsi="Century Gothic"/>
                <w:bCs/>
                <w:szCs w:val="18"/>
                <w:lang w:val="en-GB"/>
              </w:rPr>
            </w:pPr>
          </w:p>
          <w:p w14:paraId="63005367" w14:textId="764CF7A0" w:rsidR="005334AF" w:rsidRPr="00E00301" w:rsidRDefault="000B68F0" w:rsidP="00272D85">
            <w:pPr>
              <w:jc w:val="both"/>
              <w:rPr>
                <w:rFonts w:ascii="Century Gothic" w:hAnsi="Century Gothic"/>
                <w:bCs/>
                <w:szCs w:val="18"/>
                <w:lang w:val="en-GB"/>
              </w:rPr>
            </w:pPr>
            <w:r w:rsidRPr="00E00301">
              <w:rPr>
                <w:rFonts w:ascii="Century Gothic" w:hAnsi="Century Gothic"/>
                <w:bCs/>
                <w:szCs w:val="18"/>
                <w:lang w:val="en-GB"/>
              </w:rPr>
              <w:t>Upon receipt of the contribution Identity Malta will pay 70 per cent of this into the National Development and Social Fund and the remainder into the Consolidated Fund (Regulation 7(10)</w:t>
            </w:r>
            <w:r w:rsidR="009569CF" w:rsidRPr="00E00301">
              <w:rPr>
                <w:rFonts w:ascii="Century Gothic" w:hAnsi="Century Gothic"/>
                <w:bCs/>
                <w:szCs w:val="18"/>
                <w:lang w:val="en-GB"/>
              </w:rPr>
              <w:t xml:space="preserve"> of LN 47/2014)</w:t>
            </w:r>
            <w:r w:rsidRPr="00E00301">
              <w:rPr>
                <w:rFonts w:ascii="Century Gothic" w:hAnsi="Century Gothic"/>
                <w:bCs/>
                <w:szCs w:val="18"/>
                <w:lang w:val="en-GB"/>
              </w:rPr>
              <w:t>.</w:t>
            </w:r>
            <w:r w:rsidR="00C3220E" w:rsidRPr="00E00301">
              <w:rPr>
                <w:rFonts w:ascii="Century Gothic" w:hAnsi="Century Gothic"/>
                <w:bCs/>
                <w:szCs w:val="18"/>
                <w:lang w:val="en-GB"/>
              </w:rPr>
              <w:t xml:space="preserve"> </w:t>
            </w:r>
          </w:p>
        </w:tc>
        <w:tc>
          <w:tcPr>
            <w:tcW w:w="501" w:type="pct"/>
            <w:shd w:val="clear" w:color="auto" w:fill="F2F2F2" w:themeFill="background1" w:themeFillShade="F2"/>
          </w:tcPr>
          <w:p w14:paraId="1E8C847D" w14:textId="77777777" w:rsidR="00A41ECE" w:rsidRPr="00E00301" w:rsidRDefault="0080268D" w:rsidP="00F05AAD">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tc>
      </w:tr>
      <w:bookmarkEnd w:id="12"/>
    </w:tbl>
    <w:p w14:paraId="5A7B192C" w14:textId="77777777" w:rsidR="00F46BFD" w:rsidRPr="0044090D" w:rsidRDefault="00F46BFD" w:rsidP="00666448">
      <w:pPr>
        <w:pStyle w:val="MBT"/>
        <w:rPr>
          <w:lang w:val="en-GB"/>
        </w:rPr>
        <w:sectPr w:rsidR="00F46BFD" w:rsidRPr="0044090D">
          <w:footerReference w:type="default" r:id="rId19"/>
          <w:pgSz w:w="16838" w:h="11906" w:orient="landscape"/>
          <w:pgMar w:top="1440" w:right="1440" w:bottom="1440" w:left="1440" w:header="708" w:footer="708" w:gutter="0"/>
          <w:cols w:space="708"/>
          <w:docGrid w:linePitch="360"/>
        </w:sectPr>
      </w:pPr>
    </w:p>
    <w:p w14:paraId="3F8193A3" w14:textId="77777777" w:rsidR="00AC2EEB" w:rsidRPr="00DA61D1" w:rsidRDefault="00AC2EEB" w:rsidP="00AC2EEB">
      <w:pPr>
        <w:pStyle w:val="MH2"/>
        <w:outlineLvl w:val="9"/>
      </w:pPr>
      <w:r w:rsidRPr="00DA61D1">
        <w:lastRenderedPageBreak/>
        <w:t>Residence of the investor in the country</w:t>
      </w:r>
      <w:bookmarkStart w:id="13" w:name="_Hlk496123308"/>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7362"/>
        <w:gridCol w:w="4733"/>
        <w:gridCol w:w="1843"/>
      </w:tblGrid>
      <w:tr w:rsidR="003C31B7" w:rsidRPr="00340E44" w14:paraId="6143B6F5" w14:textId="77777777" w:rsidTr="00C46E63">
        <w:tc>
          <w:tcPr>
            <w:tcW w:w="2641" w:type="pct"/>
            <w:shd w:val="clear" w:color="auto" w:fill="B8CCE4" w:themeFill="accent1" w:themeFillTint="66"/>
          </w:tcPr>
          <w:p w14:paraId="6909A835"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Residence criterion</w:t>
            </w:r>
          </w:p>
          <w:p w14:paraId="3286EAD9" w14:textId="77777777" w:rsidR="00AC2EEB" w:rsidRPr="00E00301" w:rsidRDefault="00AC2EEB" w:rsidP="00A41ECE">
            <w:pPr>
              <w:rPr>
                <w:rFonts w:ascii="Century Gothic" w:hAnsi="Century Gothic"/>
                <w:bCs/>
                <w:i/>
                <w:color w:val="FF0000"/>
                <w:szCs w:val="18"/>
                <w:lang w:val="en-GB"/>
              </w:rPr>
            </w:pPr>
          </w:p>
          <w:p w14:paraId="7CEC4864" w14:textId="77777777" w:rsidR="00AC2EEB" w:rsidRPr="00E00301" w:rsidRDefault="00AC2EEB" w:rsidP="00DA61D1">
            <w:pPr>
              <w:pStyle w:val="ListParagraph"/>
              <w:ind w:left="284"/>
              <w:contextualSpacing w:val="0"/>
              <w:jc w:val="left"/>
              <w:rPr>
                <w:rFonts w:ascii="Century Gothic" w:hAnsi="Century Gothic"/>
                <w:b/>
                <w:bCs/>
                <w:sz w:val="18"/>
                <w:szCs w:val="18"/>
              </w:rPr>
            </w:pPr>
          </w:p>
        </w:tc>
        <w:tc>
          <w:tcPr>
            <w:tcW w:w="1698" w:type="pct"/>
            <w:shd w:val="clear" w:color="auto" w:fill="B8CCE4" w:themeFill="accent1" w:themeFillTint="66"/>
          </w:tcPr>
          <w:p w14:paraId="0FA22210" w14:textId="77777777" w:rsidR="00AC2EEB" w:rsidRPr="00E00301" w:rsidRDefault="00AC2EEB" w:rsidP="00A41ECE">
            <w:pPr>
              <w:jc w:val="center"/>
              <w:rPr>
                <w:rFonts w:ascii="Century Gothic" w:hAnsi="Century Gothic"/>
                <w:b/>
                <w:bCs/>
                <w:szCs w:val="18"/>
                <w:lang w:val="en-GB"/>
              </w:rPr>
            </w:pPr>
            <w:r w:rsidRPr="00E00301">
              <w:rPr>
                <w:rFonts w:ascii="Century Gothic" w:hAnsi="Century Gothic"/>
                <w:b/>
                <w:bCs/>
                <w:szCs w:val="18"/>
                <w:lang w:val="en-GB"/>
              </w:rPr>
              <w:t>Procedure</w:t>
            </w:r>
          </w:p>
          <w:p w14:paraId="5A016B7F" w14:textId="77777777" w:rsidR="00AC2EEB" w:rsidRPr="00E00301" w:rsidRDefault="00AC2EEB" w:rsidP="00A41ECE">
            <w:pPr>
              <w:jc w:val="center"/>
              <w:rPr>
                <w:rFonts w:ascii="Century Gothic" w:hAnsi="Century Gothic"/>
                <w:b/>
                <w:bCs/>
                <w:szCs w:val="18"/>
                <w:lang w:val="en-GB"/>
              </w:rPr>
            </w:pPr>
          </w:p>
          <w:p w14:paraId="0385BD02" w14:textId="77777777" w:rsidR="00BD262D" w:rsidRPr="00E00301" w:rsidRDefault="00AC2EEB" w:rsidP="003C31B7">
            <w:pPr>
              <w:pStyle w:val="ListParagraph"/>
              <w:contextualSpacing w:val="0"/>
              <w:jc w:val="left"/>
              <w:rPr>
                <w:rFonts w:ascii="Century Gothic" w:hAnsi="Century Gothic"/>
                <w:b/>
                <w:bCs/>
                <w:i/>
                <w:sz w:val="18"/>
                <w:szCs w:val="18"/>
              </w:rPr>
            </w:pPr>
            <w:r w:rsidRPr="00E00301">
              <w:rPr>
                <w:rFonts w:ascii="Century Gothic" w:hAnsi="Century Gothic"/>
                <w:bCs/>
                <w:i/>
                <w:color w:val="FF0000"/>
                <w:sz w:val="18"/>
                <w:szCs w:val="18"/>
              </w:rPr>
              <w:t xml:space="preserve"> </w:t>
            </w:r>
          </w:p>
        </w:tc>
        <w:tc>
          <w:tcPr>
            <w:tcW w:w="661" w:type="pct"/>
            <w:shd w:val="clear" w:color="auto" w:fill="B8CCE4" w:themeFill="accent1" w:themeFillTint="66"/>
          </w:tcPr>
          <w:p w14:paraId="3CB0AF59" w14:textId="77777777" w:rsidR="00AC2EEB" w:rsidRPr="00E00301" w:rsidRDefault="00AC2EEB" w:rsidP="00882C9A">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bookmarkEnd w:id="13"/>
      <w:tr w:rsidR="003C31B7" w:rsidRPr="00E00301" w14:paraId="67F0502F" w14:textId="77777777" w:rsidTr="00C46E63">
        <w:tc>
          <w:tcPr>
            <w:tcW w:w="2641" w:type="pct"/>
            <w:shd w:val="clear" w:color="auto" w:fill="F2F2F2" w:themeFill="background1" w:themeFillShade="F2"/>
          </w:tcPr>
          <w:p w14:paraId="7DCEB5BC" w14:textId="7A405B48" w:rsidR="00AC2EEB" w:rsidRPr="00E00301" w:rsidRDefault="00DF730F" w:rsidP="00F05AAD">
            <w:pPr>
              <w:jc w:val="both"/>
              <w:rPr>
                <w:rFonts w:ascii="Century Gothic" w:hAnsi="Century Gothic"/>
                <w:bCs/>
                <w:szCs w:val="18"/>
                <w:lang w:val="en-GB"/>
              </w:rPr>
            </w:pPr>
            <w:r w:rsidRPr="00E00301">
              <w:rPr>
                <w:rFonts w:ascii="Century Gothic" w:hAnsi="Century Gothic"/>
                <w:bCs/>
                <w:szCs w:val="18"/>
                <w:lang w:val="en-GB"/>
              </w:rPr>
              <w:t xml:space="preserve">Regulation 7(12) </w:t>
            </w:r>
            <w:r w:rsidR="00CE2434" w:rsidRPr="00E00301">
              <w:rPr>
                <w:rFonts w:ascii="Century Gothic" w:hAnsi="Century Gothic"/>
                <w:bCs/>
                <w:szCs w:val="18"/>
                <w:lang w:val="en-GB"/>
              </w:rPr>
              <w:t xml:space="preserve">of LN 47/2014 </w:t>
            </w:r>
            <w:r w:rsidRPr="00E00301">
              <w:rPr>
                <w:rFonts w:ascii="Century Gothic" w:hAnsi="Century Gothic"/>
                <w:bCs/>
                <w:szCs w:val="18"/>
                <w:lang w:val="en-GB"/>
              </w:rPr>
              <w:t xml:space="preserve">requires proof that the </w:t>
            </w:r>
            <w:r w:rsidRPr="00E00301">
              <w:rPr>
                <w:rFonts w:ascii="Century Gothic" w:hAnsi="Century Gothic"/>
                <w:b/>
                <w:bCs/>
                <w:szCs w:val="18"/>
                <w:lang w:val="en-GB"/>
              </w:rPr>
              <w:t>main applicant</w:t>
            </w:r>
            <w:r w:rsidRPr="00E00301">
              <w:rPr>
                <w:rFonts w:ascii="Century Gothic" w:hAnsi="Century Gothic"/>
                <w:bCs/>
                <w:szCs w:val="18"/>
                <w:lang w:val="en-GB"/>
              </w:rPr>
              <w:t xml:space="preserve"> has been a resident of Malta for at least twelve months preceding the day of the issuing of the certificate of naturalisation.</w:t>
            </w:r>
          </w:p>
          <w:p w14:paraId="7E1EDA3D" w14:textId="77777777" w:rsidR="0078672F" w:rsidRPr="00E00301" w:rsidRDefault="0078672F" w:rsidP="00F05AAD">
            <w:pPr>
              <w:jc w:val="both"/>
              <w:rPr>
                <w:rFonts w:ascii="Century Gothic" w:hAnsi="Century Gothic"/>
                <w:bCs/>
                <w:szCs w:val="18"/>
                <w:lang w:val="en-GB"/>
              </w:rPr>
            </w:pPr>
          </w:p>
          <w:p w14:paraId="00A75A90" w14:textId="77777777" w:rsidR="0078672F" w:rsidRPr="00E00301" w:rsidRDefault="00DA61D1" w:rsidP="00F05AAD">
            <w:pPr>
              <w:jc w:val="both"/>
              <w:rPr>
                <w:rFonts w:ascii="Century Gothic" w:hAnsi="Century Gothic"/>
                <w:bCs/>
                <w:szCs w:val="18"/>
                <w:lang w:val="en-GB"/>
              </w:rPr>
            </w:pPr>
            <w:r w:rsidRPr="00E00301">
              <w:rPr>
                <w:rFonts w:ascii="Century Gothic" w:hAnsi="Century Gothic"/>
                <w:bCs/>
                <w:szCs w:val="18"/>
                <w:lang w:val="en-GB"/>
              </w:rPr>
              <w:t xml:space="preserve">As per an amendment to the Maltese Citizenship </w:t>
            </w:r>
            <w:r w:rsidR="004202F9" w:rsidRPr="00E00301">
              <w:rPr>
                <w:rFonts w:ascii="Century Gothic" w:hAnsi="Century Gothic"/>
                <w:bCs/>
                <w:szCs w:val="18"/>
                <w:lang w:val="en-GB"/>
              </w:rPr>
              <w:t xml:space="preserve">Regulations </w:t>
            </w:r>
            <w:r w:rsidRPr="00E00301">
              <w:rPr>
                <w:rFonts w:ascii="Century Gothic" w:hAnsi="Century Gothic"/>
                <w:bCs/>
                <w:szCs w:val="18"/>
                <w:lang w:val="en-GB"/>
              </w:rPr>
              <w:t xml:space="preserve">introduced by LN 63/2014, </w:t>
            </w:r>
            <w:r w:rsidR="0078672F" w:rsidRPr="00E00301">
              <w:rPr>
                <w:rFonts w:ascii="Century Gothic" w:hAnsi="Century Gothic"/>
                <w:bCs/>
                <w:szCs w:val="18"/>
                <w:lang w:val="en-GB"/>
              </w:rPr>
              <w:t xml:space="preserve">the applicant </w:t>
            </w:r>
            <w:r w:rsidRPr="00E00301">
              <w:rPr>
                <w:rFonts w:ascii="Century Gothic" w:hAnsi="Century Gothic"/>
                <w:bCs/>
                <w:szCs w:val="18"/>
                <w:lang w:val="en-GB"/>
              </w:rPr>
              <w:t>must submit ‘</w:t>
            </w:r>
            <w:r w:rsidR="0078672F" w:rsidRPr="00E00301">
              <w:rPr>
                <w:rFonts w:ascii="Century Gothic" w:hAnsi="Century Gothic"/>
                <w:b/>
                <w:bCs/>
                <w:szCs w:val="18"/>
                <w:lang w:val="en-GB"/>
              </w:rPr>
              <w:t xml:space="preserve">proof of residence in Malta </w:t>
            </w:r>
            <w:r w:rsidR="0078672F" w:rsidRPr="00E00301">
              <w:rPr>
                <w:rFonts w:ascii="Century Gothic" w:hAnsi="Century Gothic"/>
                <w:bCs/>
                <w:szCs w:val="18"/>
                <w:lang w:val="en-GB"/>
              </w:rPr>
              <w:t>prior to being granted a certificate of naturalization as a citizen of Malta in accordance with the Individual Investor Programme of the Republic of Malta Regulations, 2014</w:t>
            </w:r>
            <w:r w:rsidRPr="00E00301">
              <w:rPr>
                <w:rFonts w:ascii="Century Gothic" w:hAnsi="Century Gothic"/>
                <w:bCs/>
                <w:szCs w:val="18"/>
                <w:lang w:val="en-GB"/>
              </w:rPr>
              <w:t>’</w:t>
            </w:r>
            <w:r w:rsidR="004202F9" w:rsidRPr="00E00301">
              <w:rPr>
                <w:rFonts w:ascii="Century Gothic" w:hAnsi="Century Gothic"/>
                <w:bCs/>
                <w:szCs w:val="18"/>
                <w:lang w:val="en-GB"/>
              </w:rPr>
              <w:t xml:space="preserve"> (Form N in the First Schedule to the Maltese Citizenship Regulations).</w:t>
            </w:r>
          </w:p>
          <w:p w14:paraId="2F49F84B" w14:textId="77777777" w:rsidR="004202F9" w:rsidRPr="00E00301" w:rsidRDefault="004202F9" w:rsidP="00F05AAD">
            <w:pPr>
              <w:jc w:val="both"/>
              <w:rPr>
                <w:rFonts w:ascii="Century Gothic" w:hAnsi="Century Gothic"/>
                <w:bCs/>
                <w:szCs w:val="18"/>
                <w:lang w:val="en-GB"/>
              </w:rPr>
            </w:pPr>
          </w:p>
          <w:p w14:paraId="43C70EA4" w14:textId="6D0E75EB" w:rsidR="0084155F" w:rsidRPr="00E00301" w:rsidRDefault="0084155F" w:rsidP="004A411F">
            <w:pPr>
              <w:jc w:val="both"/>
              <w:rPr>
                <w:rFonts w:ascii="Century Gothic" w:hAnsi="Century Gothic"/>
                <w:bCs/>
                <w:szCs w:val="18"/>
                <w:lang w:val="en-GB"/>
              </w:rPr>
            </w:pPr>
            <w:r w:rsidRPr="00B85F19">
              <w:rPr>
                <w:rFonts w:ascii="Century Gothic" w:hAnsi="Century Gothic"/>
                <w:bCs/>
                <w:szCs w:val="18"/>
                <w:lang w:val="en-GB"/>
              </w:rPr>
              <w:t xml:space="preserve">IIP applicants </w:t>
            </w:r>
            <w:r w:rsidRPr="00CC6E53">
              <w:rPr>
                <w:rFonts w:ascii="Century Gothic" w:hAnsi="Century Gothic"/>
                <w:bCs/>
                <w:szCs w:val="18"/>
                <w:lang w:val="en-GB"/>
              </w:rPr>
              <w:t>receive ‘reinforced residency status’ (RRS)</w:t>
            </w:r>
            <w:r w:rsidR="00DB0959" w:rsidRPr="00CC6E53">
              <w:rPr>
                <w:rFonts w:ascii="Century Gothic" w:hAnsi="Century Gothic"/>
                <w:bCs/>
                <w:szCs w:val="18"/>
                <w:lang w:val="en-GB"/>
              </w:rPr>
              <w:t>. RRS is considered</w:t>
            </w:r>
            <w:r w:rsidR="00DB0959">
              <w:rPr>
                <w:rFonts w:ascii="Century Gothic" w:hAnsi="Century Gothic"/>
                <w:bCs/>
                <w:szCs w:val="18"/>
                <w:lang w:val="en-GB"/>
              </w:rPr>
              <w:t xml:space="preserve"> an internal policy of Identity Malta, applicable only to IIP applicants.</w:t>
            </w:r>
            <w:r w:rsidR="004A411F">
              <w:rPr>
                <w:rStyle w:val="FootnoteReference"/>
                <w:rFonts w:ascii="Century Gothic" w:hAnsi="Century Gothic"/>
                <w:bCs/>
                <w:szCs w:val="18"/>
                <w:lang w:val="en-GB"/>
              </w:rPr>
              <w:footnoteReference w:id="99"/>
            </w:r>
            <w:r w:rsidR="004A411F">
              <w:rPr>
                <w:rFonts w:ascii="Century Gothic" w:hAnsi="Century Gothic"/>
                <w:bCs/>
                <w:szCs w:val="18"/>
                <w:lang w:val="en-GB"/>
              </w:rPr>
              <w:t xml:space="preserve"> The key objective of </w:t>
            </w:r>
            <w:r w:rsidR="004A411F" w:rsidRPr="00B85F19">
              <w:rPr>
                <w:rFonts w:ascii="Century Gothic" w:hAnsi="Century Gothic"/>
                <w:bCs/>
                <w:szCs w:val="18"/>
                <w:lang w:val="en-GB"/>
              </w:rPr>
              <w:t>RRS is to grant the applicant an ‘effective residence’ status for the purposes of the acquisition of citizenship through the IIP. RRS ‘is designed to facilitate an appropriate balance between freedom of movement and the compliance of effective residence in Malta for a period of twelve months</w:t>
            </w:r>
            <w:r w:rsidR="00810A07" w:rsidRPr="00B85F19">
              <w:rPr>
                <w:rFonts w:ascii="Century Gothic" w:hAnsi="Century Gothic"/>
                <w:bCs/>
                <w:szCs w:val="18"/>
                <w:lang w:val="en-GB"/>
              </w:rPr>
              <w:t xml:space="preserve"> </w:t>
            </w:r>
            <w:r w:rsidR="004A411F" w:rsidRPr="00B85F19">
              <w:rPr>
                <w:rFonts w:ascii="Century Gothic" w:hAnsi="Century Gothic"/>
                <w:bCs/>
                <w:szCs w:val="18"/>
                <w:lang w:val="en-GB"/>
              </w:rPr>
              <w:t>prior to the acquisition of nationality for all applicants.</w:t>
            </w:r>
            <w:r w:rsidR="009D33C1" w:rsidRPr="00B85F19">
              <w:rPr>
                <w:rFonts w:ascii="Century Gothic" w:hAnsi="Century Gothic"/>
                <w:bCs/>
                <w:szCs w:val="18"/>
                <w:lang w:val="en-GB"/>
              </w:rPr>
              <w:t>’</w:t>
            </w:r>
            <w:r w:rsidR="004A411F" w:rsidRPr="00B85F19">
              <w:rPr>
                <w:rStyle w:val="FootnoteReference"/>
                <w:rFonts w:ascii="Century Gothic" w:hAnsi="Century Gothic"/>
                <w:bCs/>
                <w:szCs w:val="18"/>
                <w:lang w:val="en-GB"/>
              </w:rPr>
              <w:footnoteReference w:id="100"/>
            </w:r>
            <w:r w:rsidR="004A411F">
              <w:rPr>
                <w:rFonts w:ascii="Century Gothic" w:hAnsi="Century Gothic"/>
                <w:bCs/>
                <w:szCs w:val="18"/>
                <w:lang w:val="en-GB"/>
              </w:rPr>
              <w:t xml:space="preserve"> It is valid during the IIP application assessment</w:t>
            </w:r>
            <w:r w:rsidR="00810A07">
              <w:rPr>
                <w:rFonts w:ascii="Century Gothic" w:hAnsi="Century Gothic"/>
                <w:bCs/>
                <w:szCs w:val="18"/>
                <w:lang w:val="en-GB"/>
              </w:rPr>
              <w:t xml:space="preserve"> </w:t>
            </w:r>
            <w:r w:rsidR="004A411F">
              <w:rPr>
                <w:rFonts w:ascii="Century Gothic" w:hAnsi="Century Gothic"/>
                <w:bCs/>
                <w:szCs w:val="18"/>
                <w:lang w:val="en-GB"/>
              </w:rPr>
              <w:t>and cannot be converted into a different type of residence permit (e.g. permanent residence).</w:t>
            </w:r>
            <w:r w:rsidR="00E71F64">
              <w:rPr>
                <w:rFonts w:ascii="Century Gothic" w:hAnsi="Century Gothic"/>
                <w:bCs/>
                <w:szCs w:val="18"/>
                <w:lang w:val="en-GB"/>
              </w:rPr>
              <w:t xml:space="preserve"> It is subject to IIP requirements, including due diligence explained in </w:t>
            </w:r>
            <w:r w:rsidR="00810A07">
              <w:rPr>
                <w:rFonts w:ascii="Century Gothic" w:hAnsi="Century Gothic"/>
                <w:bCs/>
                <w:szCs w:val="18"/>
                <w:lang w:val="en-GB"/>
              </w:rPr>
              <w:t>point</w:t>
            </w:r>
            <w:r w:rsidR="00E71F64">
              <w:rPr>
                <w:rFonts w:ascii="Century Gothic" w:hAnsi="Century Gothic"/>
                <w:bCs/>
                <w:szCs w:val="18"/>
                <w:lang w:val="en-GB"/>
              </w:rPr>
              <w:t xml:space="preserve"> 2.4</w:t>
            </w:r>
            <w:r w:rsidR="00810A07">
              <w:rPr>
                <w:rFonts w:ascii="Century Gothic" w:hAnsi="Century Gothic"/>
                <w:bCs/>
                <w:szCs w:val="18"/>
                <w:lang w:val="en-GB"/>
              </w:rPr>
              <w:t xml:space="preserve"> below</w:t>
            </w:r>
            <w:r w:rsidR="00E71F64">
              <w:rPr>
                <w:rFonts w:ascii="Century Gothic" w:hAnsi="Century Gothic"/>
                <w:bCs/>
                <w:szCs w:val="18"/>
                <w:lang w:val="en-GB"/>
              </w:rPr>
              <w:t>.</w:t>
            </w:r>
            <w:r w:rsidR="00E71F64">
              <w:rPr>
                <w:rStyle w:val="FootnoteReference"/>
                <w:rFonts w:ascii="Century Gothic" w:hAnsi="Century Gothic"/>
                <w:bCs/>
                <w:szCs w:val="18"/>
                <w:lang w:val="en-GB"/>
              </w:rPr>
              <w:t xml:space="preserve"> </w:t>
            </w:r>
            <w:r w:rsidR="00E71F64">
              <w:rPr>
                <w:rStyle w:val="FootnoteReference"/>
                <w:rFonts w:ascii="Century Gothic" w:hAnsi="Century Gothic"/>
                <w:bCs/>
                <w:szCs w:val="18"/>
                <w:lang w:val="en-GB"/>
              </w:rPr>
              <w:footnoteReference w:id="101"/>
            </w:r>
          </w:p>
          <w:p w14:paraId="4689942A" w14:textId="77777777" w:rsidR="000E7B81" w:rsidRPr="00E00301" w:rsidRDefault="000E7B81" w:rsidP="00F05AAD">
            <w:pPr>
              <w:jc w:val="both"/>
              <w:rPr>
                <w:rFonts w:ascii="Century Gothic" w:hAnsi="Century Gothic"/>
                <w:bCs/>
                <w:szCs w:val="18"/>
                <w:lang w:val="en-GB"/>
              </w:rPr>
            </w:pPr>
          </w:p>
          <w:p w14:paraId="2705E4AE" w14:textId="08C32115" w:rsidR="0078672F" w:rsidRPr="00E00301" w:rsidRDefault="0078672F" w:rsidP="00F05AAD">
            <w:pPr>
              <w:jc w:val="both"/>
              <w:rPr>
                <w:rFonts w:ascii="Century Gothic" w:hAnsi="Century Gothic"/>
                <w:bCs/>
                <w:szCs w:val="18"/>
                <w:lang w:val="en-GB"/>
              </w:rPr>
            </w:pPr>
            <w:r w:rsidRPr="00E00301">
              <w:rPr>
                <w:rFonts w:ascii="Century Gothic" w:hAnsi="Century Gothic"/>
                <w:bCs/>
                <w:szCs w:val="18"/>
                <w:lang w:val="en-GB"/>
              </w:rPr>
              <w:t xml:space="preserve">The </w:t>
            </w:r>
            <w:r w:rsidR="004202F9" w:rsidRPr="00E00301">
              <w:rPr>
                <w:rFonts w:ascii="Century Gothic" w:hAnsi="Century Gothic"/>
                <w:bCs/>
                <w:szCs w:val="18"/>
                <w:lang w:val="en-GB"/>
              </w:rPr>
              <w:t>‘</w:t>
            </w:r>
            <w:r w:rsidRPr="00E00301">
              <w:rPr>
                <w:rFonts w:ascii="Century Gothic" w:hAnsi="Century Gothic"/>
                <w:bCs/>
                <w:szCs w:val="18"/>
                <w:lang w:val="en-GB"/>
              </w:rPr>
              <w:t>proof of residence</w:t>
            </w:r>
            <w:r w:rsidR="004202F9" w:rsidRPr="00E00301">
              <w:rPr>
                <w:rFonts w:ascii="Century Gothic" w:hAnsi="Century Gothic"/>
                <w:bCs/>
                <w:szCs w:val="18"/>
                <w:lang w:val="en-GB"/>
              </w:rPr>
              <w:t>’</w:t>
            </w:r>
            <w:r w:rsidRPr="00E00301">
              <w:rPr>
                <w:rFonts w:ascii="Century Gothic" w:hAnsi="Century Gothic"/>
                <w:bCs/>
                <w:szCs w:val="18"/>
                <w:lang w:val="en-GB"/>
              </w:rPr>
              <w:t xml:space="preserve"> has not been defined in </w:t>
            </w:r>
            <w:r w:rsidR="004202F9" w:rsidRPr="00E00301">
              <w:rPr>
                <w:rFonts w:ascii="Century Gothic" w:hAnsi="Century Gothic"/>
                <w:bCs/>
                <w:szCs w:val="18"/>
                <w:lang w:val="en-GB"/>
              </w:rPr>
              <w:t xml:space="preserve">the </w:t>
            </w:r>
            <w:r w:rsidRPr="00E00301">
              <w:rPr>
                <w:rFonts w:ascii="Century Gothic" w:hAnsi="Century Gothic"/>
                <w:bCs/>
                <w:szCs w:val="18"/>
                <w:lang w:val="en-GB"/>
              </w:rPr>
              <w:t>Malt</w:t>
            </w:r>
            <w:r w:rsidR="004202F9" w:rsidRPr="00E00301">
              <w:rPr>
                <w:rFonts w:ascii="Century Gothic" w:hAnsi="Century Gothic"/>
                <w:bCs/>
                <w:szCs w:val="18"/>
                <w:lang w:val="en-GB"/>
              </w:rPr>
              <w:t>ese</w:t>
            </w:r>
            <w:r w:rsidRPr="00E00301">
              <w:rPr>
                <w:rFonts w:ascii="Century Gothic" w:hAnsi="Century Gothic"/>
                <w:bCs/>
                <w:szCs w:val="18"/>
                <w:lang w:val="en-GB"/>
              </w:rPr>
              <w:t xml:space="preserve"> citizenship </w:t>
            </w:r>
            <w:r w:rsidR="00A35D8A" w:rsidRPr="00E00301">
              <w:rPr>
                <w:rFonts w:ascii="Century Gothic" w:hAnsi="Century Gothic"/>
                <w:bCs/>
                <w:szCs w:val="18"/>
                <w:lang w:val="en-GB"/>
              </w:rPr>
              <w:t>legislation applicable to investors</w:t>
            </w:r>
            <w:r w:rsidRPr="00E00301">
              <w:rPr>
                <w:rFonts w:ascii="Century Gothic" w:hAnsi="Century Gothic"/>
                <w:bCs/>
                <w:szCs w:val="18"/>
                <w:lang w:val="en-GB"/>
              </w:rPr>
              <w:t>.</w:t>
            </w:r>
            <w:r w:rsidR="008C2D39" w:rsidRPr="00E00301">
              <w:rPr>
                <w:rFonts w:ascii="Century Gothic" w:hAnsi="Century Gothic"/>
                <w:bCs/>
                <w:szCs w:val="18"/>
                <w:lang w:val="en-GB"/>
              </w:rPr>
              <w:t xml:space="preserve"> The Attorney General of Malta advised that a valid Residence Card should be considered as proof of residency in Malta.</w:t>
            </w:r>
            <w:r w:rsidR="008C2D39" w:rsidRPr="00E00301">
              <w:rPr>
                <w:rStyle w:val="FootnoteReference"/>
                <w:rFonts w:ascii="Century Gothic" w:hAnsi="Century Gothic"/>
                <w:bCs/>
                <w:szCs w:val="18"/>
                <w:lang w:val="en-GB"/>
              </w:rPr>
              <w:t xml:space="preserve"> </w:t>
            </w:r>
            <w:r w:rsidR="008C2D39" w:rsidRPr="00E00301">
              <w:rPr>
                <w:rStyle w:val="FootnoteReference"/>
                <w:rFonts w:ascii="Century Gothic" w:hAnsi="Century Gothic"/>
                <w:bCs/>
                <w:szCs w:val="18"/>
                <w:lang w:val="en-GB"/>
              </w:rPr>
              <w:footnoteReference w:id="102"/>
            </w:r>
            <w:r w:rsidR="004A411F">
              <w:rPr>
                <w:rFonts w:ascii="Century Gothic" w:hAnsi="Century Gothic"/>
                <w:bCs/>
                <w:szCs w:val="18"/>
                <w:lang w:val="en-GB"/>
              </w:rPr>
              <w:t xml:space="preserve"> </w:t>
            </w:r>
            <w:r w:rsidR="00E71F64">
              <w:rPr>
                <w:rFonts w:ascii="Century Gothic" w:hAnsi="Century Gothic"/>
                <w:bCs/>
                <w:szCs w:val="18"/>
                <w:lang w:val="en-GB"/>
              </w:rPr>
              <w:t xml:space="preserve">This is the </w:t>
            </w:r>
            <w:r w:rsidR="00E71F64">
              <w:rPr>
                <w:rFonts w:ascii="Century Gothic" w:hAnsi="Century Gothic"/>
                <w:bCs/>
                <w:szCs w:val="18"/>
                <w:lang w:val="en-GB"/>
              </w:rPr>
              <w:lastRenderedPageBreak/>
              <w:t xml:space="preserve">case, because the </w:t>
            </w:r>
            <w:r w:rsidR="004A411F">
              <w:rPr>
                <w:rFonts w:ascii="Century Gothic" w:hAnsi="Century Gothic"/>
                <w:bCs/>
                <w:szCs w:val="18"/>
                <w:lang w:val="en-GB"/>
              </w:rPr>
              <w:t>Residence Card is evidence of the RRS, designed for the purposes of</w:t>
            </w:r>
            <w:r w:rsidR="00810A07">
              <w:rPr>
                <w:rFonts w:ascii="Century Gothic" w:hAnsi="Century Gothic"/>
                <w:bCs/>
                <w:szCs w:val="18"/>
                <w:lang w:val="en-GB"/>
              </w:rPr>
              <w:t xml:space="preserve"> the</w:t>
            </w:r>
            <w:r w:rsidR="004A411F">
              <w:rPr>
                <w:rFonts w:ascii="Century Gothic" w:hAnsi="Century Gothic"/>
                <w:bCs/>
                <w:szCs w:val="18"/>
                <w:lang w:val="en-GB"/>
              </w:rPr>
              <w:t xml:space="preserve"> IIP</w:t>
            </w:r>
            <w:r w:rsidR="00E71F64">
              <w:rPr>
                <w:rFonts w:ascii="Century Gothic" w:hAnsi="Century Gothic"/>
                <w:bCs/>
                <w:szCs w:val="18"/>
                <w:lang w:val="en-GB"/>
              </w:rPr>
              <w:t xml:space="preserve">. </w:t>
            </w:r>
          </w:p>
          <w:p w14:paraId="28229D63" w14:textId="77777777" w:rsidR="006C3111" w:rsidRPr="00E00301" w:rsidRDefault="006C3111" w:rsidP="00F05AAD">
            <w:pPr>
              <w:jc w:val="both"/>
              <w:rPr>
                <w:rFonts w:ascii="Century Gothic" w:hAnsi="Century Gothic"/>
                <w:bCs/>
                <w:szCs w:val="18"/>
                <w:lang w:val="en-GB"/>
              </w:rPr>
            </w:pPr>
          </w:p>
          <w:p w14:paraId="54101DF8" w14:textId="5822BFFD" w:rsidR="00230D7C" w:rsidRDefault="00A35D8A" w:rsidP="00F05AAD">
            <w:pPr>
              <w:jc w:val="both"/>
              <w:rPr>
                <w:rFonts w:ascii="Century Gothic" w:hAnsi="Century Gothic"/>
                <w:bCs/>
                <w:szCs w:val="18"/>
                <w:lang w:val="en-GB"/>
              </w:rPr>
            </w:pPr>
            <w:r w:rsidRPr="00E00301">
              <w:rPr>
                <w:rFonts w:ascii="Century Gothic" w:hAnsi="Century Gothic"/>
                <w:bCs/>
                <w:szCs w:val="18"/>
                <w:lang w:val="en-GB"/>
              </w:rPr>
              <w:t>Under the heading ‘Frequently Asked Questions’ Identity Malta</w:t>
            </w:r>
            <w:r w:rsidR="00810A07">
              <w:rPr>
                <w:rFonts w:ascii="Century Gothic" w:hAnsi="Century Gothic"/>
                <w:bCs/>
                <w:szCs w:val="18"/>
                <w:lang w:val="en-GB"/>
              </w:rPr>
              <w:t>’s website</w:t>
            </w:r>
            <w:r w:rsidRPr="00E00301">
              <w:rPr>
                <w:rFonts w:ascii="Century Gothic" w:hAnsi="Century Gothic"/>
                <w:bCs/>
                <w:szCs w:val="18"/>
                <w:lang w:val="en-GB"/>
              </w:rPr>
              <w:t xml:space="preserve"> stipulates that the first step in the IIP is a mandatory application for an </w:t>
            </w:r>
            <w:r w:rsidRPr="00E00301">
              <w:rPr>
                <w:rFonts w:ascii="Century Gothic" w:hAnsi="Century Gothic"/>
                <w:b/>
                <w:bCs/>
                <w:szCs w:val="18"/>
                <w:lang w:val="en-GB"/>
              </w:rPr>
              <w:t xml:space="preserve">e-Residence Card </w:t>
            </w:r>
            <w:r w:rsidRPr="00E00301">
              <w:rPr>
                <w:rFonts w:ascii="Century Gothic" w:hAnsi="Century Gothic"/>
                <w:bCs/>
                <w:szCs w:val="18"/>
                <w:lang w:val="en-GB"/>
              </w:rPr>
              <w:t>issued by the Maltese authorities and payment of the initial contribution of the non-refundable deposit equivalent to EUR 5,000</w:t>
            </w:r>
            <w:r w:rsidR="004202F9" w:rsidRPr="00E00301">
              <w:rPr>
                <w:rFonts w:ascii="Century Gothic" w:hAnsi="Century Gothic"/>
                <w:bCs/>
                <w:szCs w:val="18"/>
                <w:lang w:val="en-GB"/>
              </w:rPr>
              <w:t>.</w:t>
            </w:r>
            <w:r w:rsidRPr="00E00301">
              <w:rPr>
                <w:rStyle w:val="FootnoteReference"/>
                <w:rFonts w:ascii="Century Gothic" w:hAnsi="Century Gothic"/>
                <w:bCs/>
                <w:szCs w:val="18"/>
                <w:lang w:val="en-GB"/>
              </w:rPr>
              <w:footnoteReference w:id="103"/>
            </w:r>
            <w:r w:rsidRPr="00E00301">
              <w:rPr>
                <w:rFonts w:ascii="Century Gothic" w:hAnsi="Century Gothic"/>
                <w:bCs/>
                <w:szCs w:val="18"/>
                <w:lang w:val="en-GB"/>
              </w:rPr>
              <w:t xml:space="preserve"> The same website stipulates that while applicants are </w:t>
            </w:r>
            <w:r w:rsidRPr="00E00301">
              <w:rPr>
                <w:rFonts w:ascii="Century Gothic" w:hAnsi="Century Gothic"/>
                <w:b/>
                <w:bCs/>
                <w:szCs w:val="18"/>
                <w:lang w:val="en-GB"/>
              </w:rPr>
              <w:t>not required to be physically present in Malta during the full 12 months</w:t>
            </w:r>
            <w:r w:rsidRPr="00E00301">
              <w:rPr>
                <w:rFonts w:ascii="Century Gothic" w:hAnsi="Century Gothic"/>
                <w:bCs/>
                <w:szCs w:val="18"/>
                <w:lang w:val="en-GB"/>
              </w:rPr>
              <w:t xml:space="preserve"> prior to the application, they </w:t>
            </w:r>
            <w:r w:rsidR="00A50839" w:rsidRPr="00E00301">
              <w:rPr>
                <w:rFonts w:ascii="Century Gothic" w:hAnsi="Century Gothic"/>
                <w:bCs/>
                <w:szCs w:val="18"/>
                <w:lang w:val="en-GB"/>
              </w:rPr>
              <w:t xml:space="preserve">are expected to explain how they intend to obtain residence status in Malta. The application for the e-Residence Card entails enrolment of biometric data and hence all applicants </w:t>
            </w:r>
            <w:r w:rsidR="00A50839" w:rsidRPr="00E00301">
              <w:rPr>
                <w:rFonts w:ascii="Century Gothic" w:hAnsi="Century Gothic"/>
                <w:b/>
                <w:bCs/>
                <w:szCs w:val="18"/>
                <w:lang w:val="en-GB"/>
              </w:rPr>
              <w:t xml:space="preserve">must have entered Malta at least once </w:t>
            </w:r>
            <w:r w:rsidR="00A50839" w:rsidRPr="00E00301">
              <w:rPr>
                <w:rFonts w:ascii="Century Gothic" w:hAnsi="Century Gothic"/>
                <w:bCs/>
                <w:szCs w:val="18"/>
                <w:lang w:val="en-GB"/>
              </w:rPr>
              <w:t>prior to becoming IIP beneficiaries.</w:t>
            </w:r>
            <w:r w:rsidR="008C2D39" w:rsidRPr="00E00301">
              <w:rPr>
                <w:rFonts w:ascii="Century Gothic" w:hAnsi="Century Gothic"/>
                <w:bCs/>
                <w:szCs w:val="18"/>
                <w:lang w:val="en-GB"/>
              </w:rPr>
              <w:t xml:space="preserve"> </w:t>
            </w:r>
          </w:p>
          <w:p w14:paraId="720B7C6D" w14:textId="77777777" w:rsidR="007442D8" w:rsidRDefault="007442D8" w:rsidP="00F05AAD">
            <w:pPr>
              <w:jc w:val="both"/>
              <w:rPr>
                <w:rFonts w:ascii="Century Gothic" w:hAnsi="Century Gothic"/>
                <w:bCs/>
                <w:szCs w:val="18"/>
                <w:lang w:val="en-GB"/>
              </w:rPr>
            </w:pPr>
          </w:p>
          <w:p w14:paraId="52FC9EF4" w14:textId="179C1F20" w:rsidR="007442D8" w:rsidRPr="00E00301" w:rsidRDefault="007442D8" w:rsidP="00F05AAD">
            <w:pPr>
              <w:jc w:val="both"/>
              <w:rPr>
                <w:rFonts w:ascii="Century Gothic" w:hAnsi="Century Gothic"/>
                <w:bCs/>
                <w:szCs w:val="18"/>
                <w:lang w:val="en-GB"/>
              </w:rPr>
            </w:pPr>
            <w:r>
              <w:rPr>
                <w:rFonts w:ascii="Century Gothic" w:hAnsi="Century Gothic"/>
                <w:bCs/>
                <w:szCs w:val="18"/>
                <w:lang w:val="en-GB"/>
              </w:rPr>
              <w:t>The only other time that applicants must be physically present is for the taking of the oath of allegiance</w:t>
            </w:r>
            <w:r w:rsidR="000B387C">
              <w:rPr>
                <w:rFonts w:ascii="Century Gothic" w:hAnsi="Century Gothic"/>
                <w:bCs/>
                <w:szCs w:val="18"/>
                <w:lang w:val="en-GB"/>
              </w:rPr>
              <w:t xml:space="preserve"> which is the last step in the application process prior to the issuance of the certificate of naturalisation (see point 1.1 above).</w:t>
            </w:r>
          </w:p>
        </w:tc>
        <w:tc>
          <w:tcPr>
            <w:tcW w:w="1698" w:type="pct"/>
            <w:shd w:val="clear" w:color="auto" w:fill="F2F2F2" w:themeFill="background1" w:themeFillShade="F2"/>
          </w:tcPr>
          <w:p w14:paraId="406AD520" w14:textId="77777777" w:rsidR="0029531E" w:rsidRPr="00E00301" w:rsidRDefault="0029531E" w:rsidP="00F05AAD">
            <w:pPr>
              <w:jc w:val="both"/>
              <w:rPr>
                <w:rFonts w:ascii="Century Gothic" w:hAnsi="Century Gothic"/>
                <w:bCs/>
                <w:szCs w:val="18"/>
                <w:lang w:val="en-GB"/>
              </w:rPr>
            </w:pPr>
            <w:r w:rsidRPr="00E00301">
              <w:rPr>
                <w:rFonts w:ascii="Century Gothic" w:hAnsi="Century Gothic"/>
                <w:bCs/>
                <w:szCs w:val="18"/>
                <w:lang w:val="en-GB"/>
              </w:rPr>
              <w:lastRenderedPageBreak/>
              <w:t xml:space="preserve">While the period of residence is </w:t>
            </w:r>
            <w:r w:rsidR="004202F9" w:rsidRPr="00E00301">
              <w:rPr>
                <w:rFonts w:ascii="Century Gothic" w:hAnsi="Century Gothic"/>
                <w:bCs/>
                <w:szCs w:val="18"/>
                <w:lang w:val="en-GB"/>
              </w:rPr>
              <w:t>at least twelve</w:t>
            </w:r>
            <w:r w:rsidRPr="00E00301">
              <w:rPr>
                <w:rFonts w:ascii="Century Gothic" w:hAnsi="Century Gothic"/>
                <w:bCs/>
                <w:szCs w:val="18"/>
                <w:lang w:val="en-GB"/>
              </w:rPr>
              <w:t xml:space="preserve"> months, there are no clear guidelines </w:t>
            </w:r>
            <w:r w:rsidR="004202F9" w:rsidRPr="00E00301">
              <w:rPr>
                <w:rFonts w:ascii="Century Gothic" w:hAnsi="Century Gothic"/>
                <w:bCs/>
                <w:szCs w:val="18"/>
                <w:lang w:val="en-GB"/>
              </w:rPr>
              <w:t>or legal provisions specifying how this is to be</w:t>
            </w:r>
            <w:r w:rsidRPr="00E00301">
              <w:rPr>
                <w:rFonts w:ascii="Century Gothic" w:hAnsi="Century Gothic"/>
                <w:bCs/>
                <w:szCs w:val="18"/>
                <w:lang w:val="en-GB"/>
              </w:rPr>
              <w:t xml:space="preserve"> assessed. </w:t>
            </w:r>
            <w:r w:rsidR="00DB2E40" w:rsidRPr="00E00301">
              <w:rPr>
                <w:rFonts w:ascii="Century Gothic" w:hAnsi="Century Gothic"/>
                <w:bCs/>
                <w:szCs w:val="18"/>
                <w:lang w:val="en-GB"/>
              </w:rPr>
              <w:t xml:space="preserve">In 2015, </w:t>
            </w:r>
            <w:r w:rsidR="004202F9" w:rsidRPr="00E00301">
              <w:rPr>
                <w:rFonts w:ascii="Century Gothic" w:hAnsi="Century Gothic"/>
                <w:bCs/>
                <w:szCs w:val="18"/>
                <w:lang w:val="en-GB"/>
              </w:rPr>
              <w:t xml:space="preserve">the </w:t>
            </w:r>
            <w:proofErr w:type="spellStart"/>
            <w:r w:rsidR="00DB2E40" w:rsidRPr="00E00301">
              <w:rPr>
                <w:rFonts w:ascii="Century Gothic" w:hAnsi="Century Gothic"/>
                <w:bCs/>
                <w:szCs w:val="18"/>
                <w:lang w:val="en-GB"/>
              </w:rPr>
              <w:t>ORiip</w:t>
            </w:r>
            <w:proofErr w:type="spellEnd"/>
            <w:r w:rsidR="00DB2E40" w:rsidRPr="00E00301">
              <w:rPr>
                <w:rFonts w:ascii="Century Gothic" w:hAnsi="Century Gothic"/>
                <w:bCs/>
                <w:szCs w:val="18"/>
                <w:lang w:val="en-GB"/>
              </w:rPr>
              <w:t xml:space="preserve"> noted ‘</w:t>
            </w:r>
            <w:r w:rsidR="004202F9" w:rsidRPr="00E00301">
              <w:rPr>
                <w:rFonts w:ascii="Century Gothic" w:hAnsi="Century Gothic"/>
                <w:bCs/>
                <w:szCs w:val="18"/>
                <w:lang w:val="en-GB"/>
              </w:rPr>
              <w:t>[p]</w:t>
            </w:r>
            <w:proofErr w:type="spellStart"/>
            <w:r w:rsidR="00DB2E40" w:rsidRPr="00E00301">
              <w:rPr>
                <w:rFonts w:ascii="Century Gothic" w:hAnsi="Century Gothic"/>
                <w:bCs/>
                <w:szCs w:val="18"/>
                <w:lang w:val="en-GB"/>
              </w:rPr>
              <w:t>hysical</w:t>
            </w:r>
            <w:proofErr w:type="spellEnd"/>
            <w:r w:rsidR="00DB2E40" w:rsidRPr="00E00301">
              <w:rPr>
                <w:rFonts w:ascii="Century Gothic" w:hAnsi="Century Gothic"/>
                <w:bCs/>
                <w:szCs w:val="18"/>
                <w:lang w:val="en-GB"/>
              </w:rPr>
              <w:t xml:space="preserve"> presence is usually recommended in three separate visits that include the milestones for applying and for taking the oath of allegiance as well as an interim visit’.</w:t>
            </w:r>
            <w:r w:rsidR="006B7059" w:rsidRPr="00E00301">
              <w:rPr>
                <w:rStyle w:val="FootnoteReference"/>
                <w:rFonts w:ascii="Century Gothic" w:hAnsi="Century Gothic"/>
                <w:bCs/>
                <w:szCs w:val="18"/>
                <w:lang w:val="en-GB"/>
              </w:rPr>
              <w:footnoteReference w:id="104"/>
            </w:r>
          </w:p>
          <w:p w14:paraId="5D7F0856" w14:textId="77777777" w:rsidR="0029531E" w:rsidRPr="00E00301" w:rsidRDefault="0029531E" w:rsidP="00F05AAD">
            <w:pPr>
              <w:jc w:val="both"/>
              <w:rPr>
                <w:rFonts w:ascii="Century Gothic" w:hAnsi="Century Gothic"/>
                <w:bCs/>
                <w:szCs w:val="18"/>
                <w:lang w:val="en-GB"/>
              </w:rPr>
            </w:pPr>
          </w:p>
          <w:p w14:paraId="54BE647C" w14:textId="23433C06" w:rsidR="00823296" w:rsidRDefault="00E2738D" w:rsidP="00F05AAD">
            <w:pPr>
              <w:jc w:val="both"/>
              <w:rPr>
                <w:rFonts w:ascii="Century Gothic" w:hAnsi="Century Gothic"/>
                <w:bCs/>
                <w:szCs w:val="18"/>
                <w:lang w:val="en-GB"/>
              </w:rPr>
            </w:pPr>
            <w:r>
              <w:rPr>
                <w:rFonts w:ascii="Century Gothic" w:hAnsi="Century Gothic"/>
                <w:bCs/>
                <w:szCs w:val="18"/>
                <w:lang w:val="en-GB"/>
              </w:rPr>
              <w:t xml:space="preserve">The Fourth Annual Report of the </w:t>
            </w:r>
            <w:proofErr w:type="spellStart"/>
            <w:r>
              <w:rPr>
                <w:rFonts w:ascii="Century Gothic" w:hAnsi="Century Gothic"/>
                <w:bCs/>
                <w:szCs w:val="18"/>
                <w:lang w:val="en-GB"/>
              </w:rPr>
              <w:t>ORiip</w:t>
            </w:r>
            <w:proofErr w:type="spellEnd"/>
            <w:r>
              <w:rPr>
                <w:rFonts w:ascii="Century Gothic" w:hAnsi="Century Gothic"/>
                <w:bCs/>
                <w:szCs w:val="18"/>
                <w:lang w:val="en-GB"/>
              </w:rPr>
              <w:t xml:space="preserve"> refers to the advice</w:t>
            </w:r>
            <w:r w:rsidRPr="00E00301">
              <w:rPr>
                <w:rFonts w:ascii="Century Gothic" w:hAnsi="Century Gothic"/>
                <w:bCs/>
                <w:szCs w:val="18"/>
                <w:lang w:val="en-GB"/>
              </w:rPr>
              <w:t xml:space="preserve"> of Dimitry </w:t>
            </w:r>
            <w:proofErr w:type="spellStart"/>
            <w:r w:rsidRPr="00E00301">
              <w:rPr>
                <w:rFonts w:ascii="Century Gothic" w:hAnsi="Century Gothic"/>
                <w:bCs/>
                <w:szCs w:val="18"/>
                <w:lang w:val="en-GB"/>
              </w:rPr>
              <w:t>Kochenov</w:t>
            </w:r>
            <w:proofErr w:type="spellEnd"/>
            <w:r w:rsidRPr="00E00301">
              <w:rPr>
                <w:rFonts w:ascii="Century Gothic" w:hAnsi="Century Gothic"/>
                <w:bCs/>
                <w:szCs w:val="18"/>
                <w:lang w:val="en-GB"/>
              </w:rPr>
              <w:t xml:space="preserve"> (a legal scholar and consultant for Henley &amp; Partners), </w:t>
            </w:r>
            <w:r>
              <w:rPr>
                <w:rFonts w:ascii="Century Gothic" w:hAnsi="Century Gothic"/>
                <w:bCs/>
                <w:szCs w:val="18"/>
                <w:lang w:val="en-GB"/>
              </w:rPr>
              <w:t>to I</w:t>
            </w:r>
            <w:r w:rsidR="0029531E" w:rsidRPr="00E00301">
              <w:rPr>
                <w:rFonts w:ascii="Century Gothic" w:hAnsi="Century Gothic"/>
                <w:bCs/>
                <w:szCs w:val="18"/>
                <w:lang w:val="en-GB"/>
              </w:rPr>
              <w:t>dentity Malta</w:t>
            </w:r>
            <w:r w:rsidR="008C2D39" w:rsidRPr="00E00301">
              <w:rPr>
                <w:rFonts w:ascii="Century Gothic" w:hAnsi="Century Gothic"/>
                <w:bCs/>
                <w:szCs w:val="18"/>
                <w:lang w:val="en-GB"/>
              </w:rPr>
              <w:t xml:space="preserve">: </w:t>
            </w:r>
          </w:p>
          <w:p w14:paraId="5E0938FD" w14:textId="77777777" w:rsidR="00823296" w:rsidRDefault="008C2D39" w:rsidP="009D33C1">
            <w:pPr>
              <w:pStyle w:val="ListParagraph"/>
              <w:numPr>
                <w:ilvl w:val="0"/>
                <w:numId w:val="32"/>
              </w:numPr>
              <w:rPr>
                <w:rFonts w:ascii="Century Gothic" w:hAnsi="Century Gothic"/>
                <w:b/>
                <w:bCs/>
                <w:i/>
                <w:iCs/>
                <w:sz w:val="26"/>
                <w:szCs w:val="18"/>
              </w:rPr>
            </w:pPr>
            <w:r w:rsidRPr="009D33C1">
              <w:rPr>
                <w:rFonts w:ascii="Century Gothic" w:hAnsi="Century Gothic"/>
                <w:bCs/>
                <w:sz w:val="18"/>
                <w:szCs w:val="18"/>
              </w:rPr>
              <w:t>‘</w:t>
            </w:r>
            <w:r w:rsidR="0029531E" w:rsidRPr="009D33C1">
              <w:rPr>
                <w:rFonts w:ascii="Century Gothic" w:hAnsi="Century Gothic"/>
                <w:bCs/>
                <w:sz w:val="18"/>
                <w:szCs w:val="18"/>
              </w:rPr>
              <w:t xml:space="preserve">residence is a legal status and that it therefore does not carry the same meaning as presence; </w:t>
            </w:r>
          </w:p>
          <w:p w14:paraId="7171E2CC" w14:textId="77777777" w:rsidR="00823296" w:rsidRDefault="0029531E" w:rsidP="009D33C1">
            <w:pPr>
              <w:pStyle w:val="ListParagraph"/>
              <w:numPr>
                <w:ilvl w:val="0"/>
                <w:numId w:val="32"/>
              </w:numPr>
              <w:rPr>
                <w:rFonts w:ascii="Century Gothic" w:hAnsi="Century Gothic"/>
                <w:b/>
                <w:bCs/>
                <w:i/>
                <w:iCs/>
                <w:sz w:val="26"/>
                <w:szCs w:val="18"/>
              </w:rPr>
            </w:pPr>
            <w:r w:rsidRPr="00E630B5">
              <w:rPr>
                <w:rFonts w:ascii="Century Gothic" w:hAnsi="Century Gothic"/>
                <w:bCs/>
                <w:sz w:val="18"/>
                <w:szCs w:val="18"/>
              </w:rPr>
              <w:t xml:space="preserve">the conditions for obtaining the legal status of residency do not include the requirement of physical presence; and </w:t>
            </w:r>
          </w:p>
          <w:p w14:paraId="6D6FB1AB" w14:textId="3916AB90" w:rsidR="0029531E" w:rsidRPr="00B85F19" w:rsidRDefault="0029531E" w:rsidP="009D33C1">
            <w:pPr>
              <w:pStyle w:val="ListParagraph"/>
              <w:numPr>
                <w:ilvl w:val="0"/>
                <w:numId w:val="32"/>
              </w:numPr>
              <w:rPr>
                <w:rFonts w:ascii="Century Gothic" w:hAnsi="Century Gothic"/>
                <w:bCs/>
                <w:szCs w:val="18"/>
              </w:rPr>
            </w:pPr>
            <w:r w:rsidRPr="009D33C1">
              <w:rPr>
                <w:rFonts w:ascii="Century Gothic" w:hAnsi="Century Gothic"/>
                <w:bCs/>
                <w:sz w:val="18"/>
                <w:szCs w:val="18"/>
              </w:rPr>
              <w:t>as it is possible to hold a residence permit in more than one country, it is therefore a physical impossibility for an individual to be omni-present in all countries in which a residence permit is held</w:t>
            </w:r>
            <w:r w:rsidR="008C2D39" w:rsidRPr="009D33C1">
              <w:rPr>
                <w:rFonts w:ascii="Century Gothic" w:hAnsi="Century Gothic"/>
                <w:bCs/>
                <w:sz w:val="18"/>
                <w:szCs w:val="18"/>
              </w:rPr>
              <w:t>’</w:t>
            </w:r>
            <w:r w:rsidR="004202F9" w:rsidRPr="009D33C1">
              <w:rPr>
                <w:rFonts w:ascii="Century Gothic" w:hAnsi="Century Gothic"/>
                <w:bCs/>
                <w:sz w:val="18"/>
                <w:szCs w:val="18"/>
              </w:rPr>
              <w:t>.</w:t>
            </w:r>
            <w:r w:rsidR="008C2D39" w:rsidRPr="00E00301">
              <w:rPr>
                <w:rStyle w:val="FootnoteReference"/>
                <w:rFonts w:ascii="Century Gothic" w:hAnsi="Century Gothic"/>
                <w:bCs/>
                <w:szCs w:val="18"/>
              </w:rPr>
              <w:footnoteReference w:id="105"/>
            </w:r>
          </w:p>
          <w:p w14:paraId="70FFD292" w14:textId="77777777" w:rsidR="008C2D39" w:rsidRPr="00E00301" w:rsidRDefault="008C2D39" w:rsidP="00F05AAD">
            <w:pPr>
              <w:jc w:val="both"/>
              <w:rPr>
                <w:rFonts w:ascii="Century Gothic" w:hAnsi="Century Gothic"/>
                <w:bCs/>
                <w:szCs w:val="18"/>
                <w:lang w:val="en-GB"/>
              </w:rPr>
            </w:pPr>
          </w:p>
          <w:p w14:paraId="213E2925" w14:textId="77777777" w:rsidR="001D1235" w:rsidRPr="00E00301" w:rsidRDefault="004202F9" w:rsidP="00F05AAD">
            <w:pPr>
              <w:jc w:val="both"/>
              <w:rPr>
                <w:rFonts w:ascii="Century Gothic" w:hAnsi="Century Gothic"/>
                <w:bCs/>
                <w:szCs w:val="18"/>
                <w:lang w:val="en-GB"/>
              </w:rPr>
            </w:pPr>
            <w:r w:rsidRPr="00E00301">
              <w:rPr>
                <w:rFonts w:ascii="Century Gothic" w:hAnsi="Century Gothic"/>
                <w:bCs/>
                <w:szCs w:val="18"/>
                <w:lang w:val="en-GB"/>
              </w:rPr>
              <w:t xml:space="preserve">The </w:t>
            </w:r>
            <w:proofErr w:type="spellStart"/>
            <w:r w:rsidR="001D1235" w:rsidRPr="00E00301">
              <w:rPr>
                <w:rFonts w:ascii="Century Gothic" w:hAnsi="Century Gothic"/>
                <w:bCs/>
                <w:szCs w:val="18"/>
                <w:lang w:val="en-GB"/>
              </w:rPr>
              <w:t>ORiip</w:t>
            </w:r>
            <w:proofErr w:type="spellEnd"/>
            <w:r w:rsidR="001D1235" w:rsidRPr="00E00301">
              <w:rPr>
                <w:rFonts w:ascii="Century Gothic" w:hAnsi="Century Gothic"/>
                <w:bCs/>
                <w:szCs w:val="18"/>
                <w:lang w:val="en-GB"/>
              </w:rPr>
              <w:t xml:space="preserve"> has listed the three most common types of evidence submitted regarding the residency period: </w:t>
            </w:r>
            <w:r w:rsidR="001D1235" w:rsidRPr="00E00301">
              <w:rPr>
                <w:rFonts w:ascii="Century Gothic" w:hAnsi="Century Gothic"/>
                <w:bCs/>
                <w:szCs w:val="18"/>
                <w:lang w:val="en-GB"/>
              </w:rPr>
              <w:lastRenderedPageBreak/>
              <w:t>a) flight ticket print-outs, stubs, boarding passes, entry and/or VISA stamps on one’s passport and also (in some cases) through a declaration made by the Agent in question ascertaining presence in Malta; b)</w:t>
            </w:r>
            <w:r w:rsidRPr="00E00301">
              <w:rPr>
                <w:rFonts w:ascii="Century Gothic" w:hAnsi="Century Gothic"/>
                <w:bCs/>
                <w:szCs w:val="18"/>
                <w:lang w:val="en-GB"/>
              </w:rPr>
              <w:t xml:space="preserve"> </w:t>
            </w:r>
            <w:r w:rsidR="001D1235" w:rsidRPr="00E00301">
              <w:rPr>
                <w:rFonts w:ascii="Century Gothic" w:hAnsi="Century Gothic"/>
                <w:bCs/>
                <w:szCs w:val="18"/>
                <w:lang w:val="en-GB"/>
              </w:rPr>
              <w:t>local hotel bookings spanning different time periods and covering the main applicant and/or his/her dependants; c)</w:t>
            </w:r>
            <w:r w:rsidRPr="00E00301">
              <w:rPr>
                <w:rFonts w:ascii="Century Gothic" w:hAnsi="Century Gothic"/>
                <w:bCs/>
                <w:szCs w:val="18"/>
                <w:lang w:val="en-GB"/>
              </w:rPr>
              <w:t xml:space="preserve"> </w:t>
            </w:r>
            <w:r w:rsidR="001D1235" w:rsidRPr="00E00301">
              <w:rPr>
                <w:rFonts w:ascii="Century Gothic" w:hAnsi="Century Gothic"/>
                <w:bCs/>
                <w:szCs w:val="18"/>
                <w:lang w:val="en-GB"/>
              </w:rPr>
              <w:t>transportation services (taxi or car rental).</w:t>
            </w:r>
            <w:r w:rsidR="001D1235" w:rsidRPr="00E00301">
              <w:rPr>
                <w:rStyle w:val="FootnoteReference"/>
                <w:rFonts w:ascii="Century Gothic" w:hAnsi="Century Gothic"/>
                <w:bCs/>
                <w:szCs w:val="18"/>
                <w:lang w:val="en-GB"/>
              </w:rPr>
              <w:footnoteReference w:id="106"/>
            </w:r>
          </w:p>
          <w:p w14:paraId="68BD3EE4" w14:textId="77777777" w:rsidR="004D7A28" w:rsidRPr="00E00301" w:rsidRDefault="004D7A28" w:rsidP="00F05AAD">
            <w:pPr>
              <w:jc w:val="both"/>
              <w:rPr>
                <w:rFonts w:ascii="Century Gothic" w:hAnsi="Century Gothic"/>
                <w:bCs/>
                <w:szCs w:val="18"/>
                <w:lang w:val="en-GB"/>
              </w:rPr>
            </w:pPr>
          </w:p>
          <w:p w14:paraId="3F22917C" w14:textId="6CDE06E8" w:rsidR="004D7A28" w:rsidRPr="00E00301" w:rsidRDefault="00275D11" w:rsidP="00275D11">
            <w:pPr>
              <w:jc w:val="both"/>
              <w:rPr>
                <w:rFonts w:ascii="Century Gothic" w:hAnsi="Century Gothic"/>
                <w:bCs/>
                <w:szCs w:val="18"/>
                <w:lang w:val="en-GB"/>
              </w:rPr>
            </w:pPr>
            <w:r>
              <w:rPr>
                <w:rFonts w:ascii="Century Gothic" w:hAnsi="Century Gothic"/>
                <w:bCs/>
                <w:szCs w:val="18"/>
                <w:lang w:val="en-GB"/>
              </w:rPr>
              <w:t>There are no legal requirements in LN 47/2014 to perform</w:t>
            </w:r>
            <w:r w:rsidRPr="001C22AD">
              <w:rPr>
                <w:rFonts w:ascii="Century Gothic" w:hAnsi="Century Gothic"/>
                <w:bCs/>
                <w:szCs w:val="18"/>
                <w:lang w:val="en-GB"/>
              </w:rPr>
              <w:t xml:space="preserve"> </w:t>
            </w:r>
            <w:r w:rsidR="004D7A28" w:rsidRPr="001C22AD">
              <w:rPr>
                <w:rFonts w:ascii="Century Gothic" w:hAnsi="Century Gothic"/>
                <w:bCs/>
                <w:szCs w:val="18"/>
                <w:lang w:val="en-GB"/>
              </w:rPr>
              <w:t xml:space="preserve">checks </w:t>
            </w:r>
            <w:r w:rsidR="001C22AD" w:rsidRPr="001C22AD">
              <w:rPr>
                <w:rFonts w:ascii="Century Gothic" w:hAnsi="Century Gothic"/>
                <w:bCs/>
                <w:szCs w:val="18"/>
                <w:lang w:val="en-GB"/>
              </w:rPr>
              <w:t>relating to physical presence at the address provided by the applicant.</w:t>
            </w:r>
            <w:r w:rsidR="006B7059" w:rsidRPr="00E00301">
              <w:rPr>
                <w:rFonts w:ascii="Century Gothic" w:hAnsi="Century Gothic"/>
                <w:bCs/>
                <w:szCs w:val="18"/>
                <w:lang w:val="en-GB"/>
              </w:rPr>
              <w:t xml:space="preserve"> </w:t>
            </w:r>
            <w:r>
              <w:rPr>
                <w:rFonts w:ascii="Century Gothic" w:hAnsi="Century Gothic"/>
                <w:bCs/>
                <w:szCs w:val="18"/>
                <w:lang w:val="en-GB"/>
              </w:rPr>
              <w:t>The applicant needs to be physically present in Malta on two occasions – to enrol biometric data for the e-Residence card at the beginning of the process and to take the oath of allegiance at the end of the process.</w:t>
            </w:r>
            <w:r>
              <w:rPr>
                <w:rStyle w:val="FootnoteReference"/>
                <w:rFonts w:ascii="Century Gothic" w:hAnsi="Century Gothic"/>
                <w:bCs/>
                <w:szCs w:val="18"/>
                <w:lang w:val="en-GB"/>
              </w:rPr>
              <w:footnoteReference w:id="107"/>
            </w:r>
          </w:p>
        </w:tc>
        <w:tc>
          <w:tcPr>
            <w:tcW w:w="661" w:type="pct"/>
            <w:shd w:val="clear" w:color="auto" w:fill="F2F2F2" w:themeFill="background1" w:themeFillShade="F2"/>
          </w:tcPr>
          <w:p w14:paraId="2C342807" w14:textId="77777777" w:rsidR="00AC2EEB" w:rsidRPr="00E00301" w:rsidRDefault="00F05AAD" w:rsidP="00CC6E53">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tc>
      </w:tr>
    </w:tbl>
    <w:p w14:paraId="09410B65" w14:textId="77777777" w:rsidR="00AC2EEB" w:rsidRPr="0044090D" w:rsidRDefault="00AC2EEB" w:rsidP="00AC2EEB">
      <w:pPr>
        <w:ind w:left="426"/>
        <w:jc w:val="both"/>
        <w:rPr>
          <w:bCs/>
          <w:i/>
          <w:color w:val="FF0000"/>
          <w:sz w:val="22"/>
          <w:szCs w:val="22"/>
          <w:lang w:val="en-GB"/>
        </w:rPr>
        <w:sectPr w:rsidR="00AC2EEB" w:rsidRPr="0044090D">
          <w:pgSz w:w="16838" w:h="11906" w:orient="landscape"/>
          <w:pgMar w:top="1440" w:right="1440" w:bottom="1440" w:left="1440" w:header="708" w:footer="708" w:gutter="0"/>
          <w:cols w:space="708"/>
          <w:docGrid w:linePitch="360"/>
        </w:sectPr>
      </w:pPr>
    </w:p>
    <w:p w14:paraId="15BFB1CD" w14:textId="05907D6D" w:rsidR="00BD262D" w:rsidRPr="00340E44" w:rsidRDefault="00666448" w:rsidP="00BD262D">
      <w:pPr>
        <w:pStyle w:val="MH2"/>
        <w:outlineLvl w:val="9"/>
      </w:pPr>
      <w:r w:rsidRPr="0044090D">
        <w:lastRenderedPageBreak/>
        <w:t>Genuine link</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ook w:val="04A0" w:firstRow="1" w:lastRow="0" w:firstColumn="1" w:lastColumn="0" w:noHBand="0" w:noVBand="1"/>
      </w:tblPr>
      <w:tblGrid>
        <w:gridCol w:w="4669"/>
        <w:gridCol w:w="7008"/>
        <w:gridCol w:w="2261"/>
      </w:tblGrid>
      <w:tr w:rsidR="003C31B7" w:rsidRPr="00340E44" w14:paraId="1A0DD724" w14:textId="77777777" w:rsidTr="00E630B5">
        <w:tc>
          <w:tcPr>
            <w:tcW w:w="1675" w:type="pct"/>
            <w:shd w:val="clear" w:color="auto" w:fill="B8CCE4" w:themeFill="accent1" w:themeFillTint="66"/>
          </w:tcPr>
          <w:p w14:paraId="7614D0FF" w14:textId="77777777" w:rsidR="00AC2EEB" w:rsidRPr="00E00301" w:rsidRDefault="00AC2EEB" w:rsidP="00BD262D">
            <w:pPr>
              <w:rPr>
                <w:rFonts w:ascii="Century Gothic" w:hAnsi="Century Gothic"/>
                <w:b/>
                <w:bCs/>
                <w:szCs w:val="18"/>
                <w:lang w:val="en-GB"/>
              </w:rPr>
            </w:pPr>
            <w:r w:rsidRPr="00E00301">
              <w:rPr>
                <w:rFonts w:ascii="Century Gothic" w:hAnsi="Century Gothic"/>
                <w:b/>
                <w:bCs/>
                <w:szCs w:val="18"/>
                <w:lang w:val="en-GB"/>
              </w:rPr>
              <w:t>Genuine link criterion</w:t>
            </w:r>
          </w:p>
          <w:p w14:paraId="17A2CA70" w14:textId="77777777" w:rsidR="00AC2EEB" w:rsidRPr="00E00301" w:rsidRDefault="00AC2EEB" w:rsidP="00FE74C2">
            <w:pPr>
              <w:rPr>
                <w:rFonts w:ascii="Century Gothic" w:hAnsi="Century Gothic"/>
                <w:b/>
                <w:bCs/>
                <w:szCs w:val="18"/>
              </w:rPr>
            </w:pPr>
          </w:p>
        </w:tc>
        <w:tc>
          <w:tcPr>
            <w:tcW w:w="2514" w:type="pct"/>
            <w:shd w:val="clear" w:color="auto" w:fill="B8CCE4" w:themeFill="accent1" w:themeFillTint="66"/>
          </w:tcPr>
          <w:p w14:paraId="5B3CF1A5"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Procedure</w:t>
            </w:r>
          </w:p>
          <w:p w14:paraId="4C0F214E" w14:textId="77777777" w:rsidR="00AC2EEB" w:rsidRPr="00E00301" w:rsidRDefault="00AC2EEB" w:rsidP="00FE74C2">
            <w:pPr>
              <w:rPr>
                <w:rFonts w:ascii="Century Gothic" w:hAnsi="Century Gothic"/>
                <w:b/>
                <w:bCs/>
                <w:i/>
                <w:szCs w:val="18"/>
              </w:rPr>
            </w:pPr>
          </w:p>
        </w:tc>
        <w:tc>
          <w:tcPr>
            <w:tcW w:w="811" w:type="pct"/>
            <w:shd w:val="clear" w:color="auto" w:fill="B8CCE4" w:themeFill="accent1" w:themeFillTint="66"/>
          </w:tcPr>
          <w:p w14:paraId="7B7D896B" w14:textId="77777777" w:rsidR="00AC2EEB" w:rsidRPr="00E00301" w:rsidRDefault="00AC2EEB" w:rsidP="00FE74C2">
            <w:pPr>
              <w:jc w:val="center"/>
              <w:rPr>
                <w:rFonts w:ascii="Century Gothic" w:hAnsi="Century Gothic"/>
                <w:b/>
                <w:bCs/>
                <w:szCs w:val="18"/>
                <w:lang w:val="en-GB"/>
              </w:rPr>
            </w:pPr>
            <w:r w:rsidRPr="00E00301">
              <w:rPr>
                <w:rFonts w:ascii="Century Gothic" w:hAnsi="Century Gothic"/>
                <w:b/>
                <w:bCs/>
                <w:szCs w:val="18"/>
                <w:lang w:val="en-GB"/>
              </w:rPr>
              <w:t>Competent authorities and non-public bodies</w:t>
            </w:r>
          </w:p>
        </w:tc>
      </w:tr>
      <w:tr w:rsidR="003C31B7" w:rsidRPr="00E00301" w14:paraId="1E75EB73" w14:textId="77777777" w:rsidTr="00E630B5">
        <w:tc>
          <w:tcPr>
            <w:tcW w:w="1675" w:type="pct"/>
            <w:shd w:val="clear" w:color="auto" w:fill="F2F2F2" w:themeFill="background1" w:themeFillShade="F2"/>
          </w:tcPr>
          <w:p w14:paraId="200350EE" w14:textId="7CA71D37" w:rsidR="00D64D27" w:rsidRDefault="001F3111" w:rsidP="00FE74C2">
            <w:pPr>
              <w:jc w:val="both"/>
              <w:rPr>
                <w:rFonts w:ascii="Century Gothic" w:hAnsi="Century Gothic"/>
                <w:bCs/>
                <w:szCs w:val="18"/>
                <w:lang w:val="en-GB"/>
              </w:rPr>
            </w:pPr>
            <w:r>
              <w:rPr>
                <w:rFonts w:ascii="Century Gothic" w:hAnsi="Century Gothic"/>
                <w:bCs/>
                <w:szCs w:val="18"/>
                <w:lang w:val="en-GB"/>
              </w:rPr>
              <w:t>There</w:t>
            </w:r>
            <w:r w:rsidR="00823296">
              <w:rPr>
                <w:rFonts w:ascii="Century Gothic" w:hAnsi="Century Gothic"/>
                <w:bCs/>
                <w:szCs w:val="18"/>
                <w:lang w:val="en-GB"/>
              </w:rPr>
              <w:t xml:space="preserve"> are </w:t>
            </w:r>
            <w:r w:rsidR="00D64D27" w:rsidRPr="00E00301">
              <w:rPr>
                <w:rFonts w:ascii="Century Gothic" w:hAnsi="Century Gothic"/>
                <w:bCs/>
                <w:szCs w:val="18"/>
                <w:lang w:val="en-GB"/>
              </w:rPr>
              <w:t>no legal definitions as to what qualitative criteria are used to asses</w:t>
            </w:r>
            <w:r w:rsidR="00FE74C2" w:rsidRPr="00E00301">
              <w:rPr>
                <w:rFonts w:ascii="Century Gothic" w:hAnsi="Century Gothic"/>
                <w:bCs/>
                <w:szCs w:val="18"/>
                <w:lang w:val="en-GB"/>
              </w:rPr>
              <w:t xml:space="preserve">s an </w:t>
            </w:r>
            <w:proofErr w:type="gramStart"/>
            <w:r w:rsidR="00FE74C2" w:rsidRPr="00E00301">
              <w:rPr>
                <w:rFonts w:ascii="Century Gothic" w:hAnsi="Century Gothic"/>
                <w:bCs/>
                <w:szCs w:val="18"/>
                <w:lang w:val="en-GB"/>
              </w:rPr>
              <w:t>applicant’s  ‘</w:t>
            </w:r>
            <w:proofErr w:type="gramEnd"/>
            <w:r w:rsidR="00FE74C2" w:rsidRPr="00E00301">
              <w:rPr>
                <w:rFonts w:ascii="Century Gothic" w:hAnsi="Century Gothic"/>
                <w:bCs/>
                <w:szCs w:val="18"/>
                <w:lang w:val="en-GB"/>
              </w:rPr>
              <w:t>genuine link</w:t>
            </w:r>
            <w:r w:rsidR="00D64D27" w:rsidRPr="00E00301">
              <w:rPr>
                <w:rFonts w:ascii="Century Gothic" w:hAnsi="Century Gothic"/>
                <w:bCs/>
                <w:szCs w:val="18"/>
                <w:lang w:val="en-GB"/>
              </w:rPr>
              <w:t>’ with Malta</w:t>
            </w:r>
            <w:r w:rsidR="0030367B">
              <w:rPr>
                <w:rFonts w:ascii="Century Gothic" w:hAnsi="Century Gothic"/>
                <w:bCs/>
                <w:szCs w:val="18"/>
                <w:lang w:val="en-GB"/>
              </w:rPr>
              <w:t xml:space="preserve"> and </w:t>
            </w:r>
            <w:r w:rsidR="003840DD">
              <w:rPr>
                <w:rFonts w:ascii="Century Gothic" w:hAnsi="Century Gothic"/>
                <w:bCs/>
                <w:szCs w:val="18"/>
                <w:lang w:val="en-GB"/>
              </w:rPr>
              <w:t>the requirement for a ‘genuine link’ is not set out in the Maltese legislation.</w:t>
            </w:r>
            <w:r w:rsidR="000621B8">
              <w:rPr>
                <w:rFonts w:ascii="Century Gothic" w:hAnsi="Century Gothic"/>
                <w:bCs/>
                <w:szCs w:val="18"/>
                <w:lang w:val="en-GB"/>
              </w:rPr>
              <w:t xml:space="preserve"> </w:t>
            </w:r>
          </w:p>
          <w:p w14:paraId="0F8C22DD" w14:textId="0E223EDF" w:rsidR="000621B8" w:rsidRDefault="000621B8" w:rsidP="00FE74C2">
            <w:pPr>
              <w:jc w:val="both"/>
              <w:rPr>
                <w:rFonts w:ascii="Century Gothic" w:hAnsi="Century Gothic"/>
                <w:bCs/>
                <w:szCs w:val="18"/>
                <w:lang w:val="en-GB"/>
              </w:rPr>
            </w:pPr>
          </w:p>
          <w:p w14:paraId="52D2A888" w14:textId="46FC429B" w:rsidR="000621B8" w:rsidRPr="00E00301" w:rsidRDefault="001F3111" w:rsidP="00FE74C2">
            <w:pPr>
              <w:jc w:val="both"/>
              <w:rPr>
                <w:rFonts w:ascii="Century Gothic" w:hAnsi="Century Gothic"/>
                <w:bCs/>
                <w:szCs w:val="18"/>
                <w:lang w:val="en-GB"/>
              </w:rPr>
            </w:pPr>
            <w:r>
              <w:rPr>
                <w:rFonts w:ascii="Century Gothic" w:hAnsi="Century Gothic"/>
                <w:bCs/>
                <w:szCs w:val="18"/>
                <w:lang w:val="en-GB"/>
              </w:rPr>
              <w:t>Apart from obtaining a Residence Card, a</w:t>
            </w:r>
            <w:r w:rsidR="000621B8">
              <w:rPr>
                <w:rFonts w:ascii="Century Gothic" w:hAnsi="Century Gothic"/>
                <w:bCs/>
                <w:szCs w:val="18"/>
                <w:lang w:val="en-GB"/>
              </w:rPr>
              <w:t xml:space="preserve">pplicants are encouraged to </w:t>
            </w:r>
            <w:r>
              <w:rPr>
                <w:rFonts w:ascii="Century Gothic" w:hAnsi="Century Gothic"/>
                <w:bCs/>
                <w:szCs w:val="18"/>
                <w:lang w:val="en-GB"/>
              </w:rPr>
              <w:t>establish</w:t>
            </w:r>
            <w:r w:rsidR="000621B8">
              <w:rPr>
                <w:rFonts w:ascii="Century Gothic" w:hAnsi="Century Gothic"/>
                <w:bCs/>
                <w:szCs w:val="18"/>
                <w:lang w:val="en-GB"/>
              </w:rPr>
              <w:t xml:space="preserve"> further </w:t>
            </w:r>
            <w:r w:rsidR="00C425EB">
              <w:rPr>
                <w:rFonts w:ascii="Century Gothic" w:hAnsi="Century Gothic"/>
                <w:bCs/>
                <w:szCs w:val="18"/>
                <w:lang w:val="en-GB"/>
              </w:rPr>
              <w:t>links with</w:t>
            </w:r>
            <w:r w:rsidR="000621B8">
              <w:rPr>
                <w:rFonts w:ascii="Century Gothic" w:hAnsi="Century Gothic"/>
                <w:bCs/>
                <w:szCs w:val="18"/>
                <w:lang w:val="en-GB"/>
              </w:rPr>
              <w:t xml:space="preserve"> Malta</w:t>
            </w:r>
            <w:r w:rsidR="00C425EB">
              <w:rPr>
                <w:rFonts w:ascii="Century Gothic" w:hAnsi="Century Gothic"/>
                <w:bCs/>
                <w:szCs w:val="18"/>
                <w:lang w:val="en-GB"/>
              </w:rPr>
              <w:t>, by for instance, donating to charit</w:t>
            </w:r>
            <w:r>
              <w:rPr>
                <w:rFonts w:ascii="Century Gothic" w:hAnsi="Century Gothic"/>
                <w:bCs/>
                <w:szCs w:val="18"/>
                <w:lang w:val="en-GB"/>
              </w:rPr>
              <w:t>able</w:t>
            </w:r>
            <w:r w:rsidR="00C425EB">
              <w:rPr>
                <w:rFonts w:ascii="Century Gothic" w:hAnsi="Century Gothic"/>
                <w:bCs/>
                <w:szCs w:val="18"/>
                <w:lang w:val="en-GB"/>
              </w:rPr>
              <w:t xml:space="preserve"> organisations.</w:t>
            </w:r>
            <w:r>
              <w:rPr>
                <w:rFonts w:ascii="Century Gothic" w:hAnsi="Century Gothic"/>
                <w:bCs/>
                <w:szCs w:val="18"/>
                <w:lang w:val="en-GB"/>
              </w:rPr>
              <w:t xml:space="preserve"> The link established depends on the applicant’s particular situation and the Approved Agents can make introductions to Maltese entities relevant to the applicant’s experience e.g. an investor from the football world could be introduced to local football clubs.</w:t>
            </w:r>
            <w:r w:rsidR="00C425EB">
              <w:rPr>
                <w:rStyle w:val="FootnoteReference"/>
                <w:rFonts w:ascii="Century Gothic" w:hAnsi="Century Gothic"/>
                <w:bCs/>
                <w:szCs w:val="18"/>
                <w:lang w:val="en-GB"/>
              </w:rPr>
              <w:footnoteReference w:id="108"/>
            </w:r>
            <w:r w:rsidR="00C425EB">
              <w:rPr>
                <w:rFonts w:ascii="Century Gothic" w:hAnsi="Century Gothic"/>
                <w:bCs/>
                <w:szCs w:val="18"/>
                <w:lang w:val="en-GB"/>
              </w:rPr>
              <w:t xml:space="preserve"> </w:t>
            </w:r>
          </w:p>
          <w:p w14:paraId="3A446D90" w14:textId="77777777" w:rsidR="00D64D27" w:rsidRPr="00E00301" w:rsidRDefault="00D64D27" w:rsidP="00FE74C2">
            <w:pPr>
              <w:jc w:val="both"/>
              <w:rPr>
                <w:rFonts w:ascii="Century Gothic" w:hAnsi="Century Gothic"/>
                <w:bCs/>
                <w:szCs w:val="18"/>
                <w:lang w:val="en-GB"/>
              </w:rPr>
            </w:pPr>
          </w:p>
          <w:p w14:paraId="6E2C0281" w14:textId="371C956F" w:rsidR="00D64D27" w:rsidRPr="00E00301" w:rsidRDefault="00B83D72" w:rsidP="008B52ED">
            <w:pPr>
              <w:jc w:val="both"/>
              <w:rPr>
                <w:rFonts w:ascii="Century Gothic" w:hAnsi="Century Gothic"/>
                <w:bCs/>
                <w:szCs w:val="18"/>
                <w:lang w:val="en-GB"/>
              </w:rPr>
            </w:pPr>
            <w:r w:rsidRPr="00E00301">
              <w:rPr>
                <w:rFonts w:ascii="Century Gothic" w:hAnsi="Century Gothic"/>
                <w:bCs/>
                <w:szCs w:val="18"/>
                <w:lang w:val="en-GB"/>
              </w:rPr>
              <w:t xml:space="preserve">The pecuniary requirement under </w:t>
            </w:r>
            <w:r w:rsidR="00FE74C2" w:rsidRPr="00E00301">
              <w:rPr>
                <w:rFonts w:ascii="Century Gothic" w:hAnsi="Century Gothic"/>
                <w:bCs/>
                <w:szCs w:val="18"/>
                <w:lang w:val="en-GB"/>
              </w:rPr>
              <w:t xml:space="preserve">the </w:t>
            </w:r>
            <w:r w:rsidRPr="00E00301">
              <w:rPr>
                <w:rFonts w:ascii="Century Gothic" w:hAnsi="Century Gothic"/>
                <w:bCs/>
                <w:szCs w:val="18"/>
                <w:lang w:val="en-GB"/>
              </w:rPr>
              <w:t xml:space="preserve">IIP, consisting of elements described in </w:t>
            </w:r>
            <w:r w:rsidR="00FE74C2" w:rsidRPr="00E00301">
              <w:rPr>
                <w:rFonts w:ascii="Century Gothic" w:hAnsi="Century Gothic"/>
                <w:bCs/>
                <w:szCs w:val="18"/>
                <w:lang w:val="en-GB"/>
              </w:rPr>
              <w:t xml:space="preserve">point </w:t>
            </w:r>
            <w:r w:rsidRPr="00E00301">
              <w:rPr>
                <w:rFonts w:ascii="Century Gothic" w:hAnsi="Century Gothic"/>
                <w:bCs/>
                <w:szCs w:val="18"/>
                <w:lang w:val="en-GB"/>
              </w:rPr>
              <w:t>2.1</w:t>
            </w:r>
            <w:r w:rsidR="00FE74C2" w:rsidRPr="00E00301">
              <w:rPr>
                <w:rFonts w:ascii="Century Gothic" w:hAnsi="Century Gothic"/>
                <w:bCs/>
                <w:szCs w:val="18"/>
                <w:lang w:val="en-GB"/>
              </w:rPr>
              <w:t xml:space="preserve"> above</w:t>
            </w:r>
            <w:r w:rsidRPr="00E00301">
              <w:rPr>
                <w:rFonts w:ascii="Century Gothic" w:hAnsi="Century Gothic"/>
                <w:bCs/>
                <w:szCs w:val="18"/>
                <w:lang w:val="en-GB"/>
              </w:rPr>
              <w:t xml:space="preserve">, alone is not considered enough to attest to a ‘genuine link’. The absence of clarity on what constitutes such a link leaves a broad margin </w:t>
            </w:r>
            <w:r w:rsidR="00FE74C2" w:rsidRPr="00E00301">
              <w:rPr>
                <w:rFonts w:ascii="Century Gothic" w:hAnsi="Century Gothic"/>
                <w:bCs/>
                <w:szCs w:val="18"/>
                <w:lang w:val="en-GB"/>
              </w:rPr>
              <w:t>of</w:t>
            </w:r>
            <w:r w:rsidRPr="00E00301">
              <w:rPr>
                <w:rFonts w:ascii="Century Gothic" w:hAnsi="Century Gothic"/>
                <w:bCs/>
                <w:szCs w:val="18"/>
                <w:lang w:val="en-GB"/>
              </w:rPr>
              <w:t xml:space="preserve"> discretion.</w:t>
            </w:r>
          </w:p>
        </w:tc>
        <w:tc>
          <w:tcPr>
            <w:tcW w:w="2514" w:type="pct"/>
            <w:shd w:val="clear" w:color="auto" w:fill="F2F2F2" w:themeFill="background1" w:themeFillShade="F2"/>
          </w:tcPr>
          <w:p w14:paraId="2968FCDC" w14:textId="77777777" w:rsidR="00B83D72" w:rsidRPr="00E00301" w:rsidRDefault="00142B7B" w:rsidP="00FE74C2">
            <w:pPr>
              <w:jc w:val="both"/>
              <w:rPr>
                <w:rFonts w:ascii="Century Gothic" w:hAnsi="Century Gothic"/>
                <w:bCs/>
                <w:szCs w:val="18"/>
                <w:lang w:val="en-GB"/>
              </w:rPr>
            </w:pPr>
            <w:r w:rsidRPr="00E00301">
              <w:rPr>
                <w:rFonts w:ascii="Century Gothic" w:hAnsi="Century Gothic"/>
                <w:bCs/>
                <w:szCs w:val="18"/>
                <w:lang w:val="en-GB"/>
              </w:rPr>
              <w:t>T</w:t>
            </w:r>
            <w:r w:rsidR="005349EF" w:rsidRPr="00E00301">
              <w:rPr>
                <w:rFonts w:ascii="Century Gothic" w:hAnsi="Century Gothic"/>
                <w:bCs/>
                <w:szCs w:val="18"/>
                <w:lang w:val="en-GB"/>
              </w:rPr>
              <w:t xml:space="preserve">he check of the ‘genuine link’ </w:t>
            </w:r>
            <w:r w:rsidR="007B6543" w:rsidRPr="00E00301">
              <w:rPr>
                <w:rFonts w:ascii="Century Gothic" w:hAnsi="Century Gothic"/>
                <w:bCs/>
                <w:szCs w:val="18"/>
                <w:lang w:val="en-GB"/>
              </w:rPr>
              <w:t xml:space="preserve">takes place in the final stage of the process, after the issuance of the Letter of Approval in Principle. </w:t>
            </w:r>
          </w:p>
          <w:p w14:paraId="3BB95046" w14:textId="77777777" w:rsidR="005349EF" w:rsidRPr="00E00301" w:rsidRDefault="005349EF" w:rsidP="00FE74C2">
            <w:pPr>
              <w:jc w:val="both"/>
              <w:rPr>
                <w:rFonts w:ascii="Century Gothic" w:hAnsi="Century Gothic"/>
                <w:b/>
                <w:bCs/>
                <w:szCs w:val="18"/>
                <w:lang w:val="en-GB"/>
              </w:rPr>
            </w:pPr>
          </w:p>
          <w:p w14:paraId="4F496ACA" w14:textId="77777777" w:rsidR="00142B7B" w:rsidRPr="00E00301" w:rsidRDefault="005349EF" w:rsidP="00FE74C2">
            <w:pPr>
              <w:jc w:val="both"/>
              <w:rPr>
                <w:rFonts w:ascii="Century Gothic" w:hAnsi="Century Gothic"/>
                <w:bCs/>
                <w:szCs w:val="18"/>
                <w:lang w:val="en-GB"/>
              </w:rPr>
            </w:pPr>
            <w:proofErr w:type="spellStart"/>
            <w:r w:rsidRPr="00E00301">
              <w:rPr>
                <w:rFonts w:ascii="Century Gothic" w:hAnsi="Century Gothic"/>
                <w:bCs/>
                <w:szCs w:val="18"/>
                <w:lang w:val="en-GB"/>
              </w:rPr>
              <w:t>ORiip</w:t>
            </w:r>
            <w:proofErr w:type="spellEnd"/>
            <w:r w:rsidRPr="00E00301">
              <w:rPr>
                <w:rFonts w:ascii="Century Gothic" w:hAnsi="Century Gothic"/>
                <w:bCs/>
                <w:szCs w:val="18"/>
                <w:lang w:val="en-GB"/>
              </w:rPr>
              <w:t xml:space="preserve"> reports refer to ‘some form of genuine links with Malta as may have been identified or accepted by the IMA </w:t>
            </w:r>
            <w:r w:rsidR="00FE74C2" w:rsidRPr="00E00301">
              <w:rPr>
                <w:rFonts w:ascii="Century Gothic" w:hAnsi="Century Gothic"/>
                <w:bCs/>
                <w:szCs w:val="18"/>
                <w:lang w:val="en-GB"/>
              </w:rPr>
              <w:t xml:space="preserve">[Identity Malta Agency] </w:t>
            </w:r>
            <w:r w:rsidRPr="00E00301">
              <w:rPr>
                <w:rFonts w:ascii="Century Gothic" w:hAnsi="Century Gothic"/>
                <w:bCs/>
                <w:szCs w:val="18"/>
                <w:lang w:val="en-GB"/>
              </w:rPr>
              <w:t>and/or the Regulator’. These can be attested by evidence of residence (as above). Other commonly submitted evidence of links with Malta include</w:t>
            </w:r>
            <w:r w:rsidR="00FE74C2" w:rsidRPr="00E00301">
              <w:rPr>
                <w:rFonts w:ascii="Century Gothic" w:hAnsi="Century Gothic"/>
                <w:bCs/>
                <w:szCs w:val="18"/>
                <w:lang w:val="en-GB"/>
              </w:rPr>
              <w:t>s</w:t>
            </w:r>
            <w:r w:rsidRPr="00E00301">
              <w:rPr>
                <w:rFonts w:ascii="Century Gothic" w:hAnsi="Century Gothic"/>
                <w:bCs/>
                <w:i/>
                <w:szCs w:val="18"/>
                <w:lang w:val="en-GB"/>
              </w:rPr>
              <w:t>, inter alia</w:t>
            </w:r>
            <w:r w:rsidRPr="00E00301">
              <w:rPr>
                <w:rFonts w:ascii="Century Gothic" w:hAnsi="Century Gothic"/>
                <w:bCs/>
                <w:szCs w:val="18"/>
                <w:lang w:val="en-GB"/>
              </w:rPr>
              <w:t>: a) donating to various institutions (charitable, band clubs, football clubs, etc); b)</w:t>
            </w:r>
            <w:r w:rsidR="00142B7B" w:rsidRPr="00E00301">
              <w:rPr>
                <w:rFonts w:ascii="Century Gothic" w:hAnsi="Century Gothic"/>
                <w:bCs/>
                <w:szCs w:val="18"/>
                <w:lang w:val="en-GB"/>
              </w:rPr>
              <w:t xml:space="preserve"> </w:t>
            </w:r>
            <w:r w:rsidR="00FE74C2" w:rsidRPr="00E00301">
              <w:rPr>
                <w:rFonts w:ascii="Century Gothic" w:hAnsi="Century Gothic"/>
                <w:bCs/>
                <w:szCs w:val="18"/>
                <w:lang w:val="en-GB"/>
              </w:rPr>
              <w:t>membership</w:t>
            </w:r>
            <w:r w:rsidRPr="00E00301">
              <w:rPr>
                <w:rFonts w:ascii="Century Gothic" w:hAnsi="Century Gothic"/>
                <w:bCs/>
                <w:szCs w:val="18"/>
                <w:lang w:val="en-GB"/>
              </w:rPr>
              <w:t xml:space="preserve"> in various institutions, including sports and social clubs; c)</w:t>
            </w:r>
            <w:r w:rsidR="00FE74C2" w:rsidRPr="00E00301">
              <w:rPr>
                <w:rFonts w:ascii="Century Gothic" w:hAnsi="Century Gothic"/>
                <w:bCs/>
                <w:szCs w:val="18"/>
                <w:lang w:val="en-GB"/>
              </w:rPr>
              <w:t xml:space="preserve"> </w:t>
            </w:r>
            <w:r w:rsidRPr="00E00301">
              <w:rPr>
                <w:rFonts w:ascii="Century Gothic" w:hAnsi="Century Gothic"/>
                <w:bCs/>
                <w:szCs w:val="18"/>
                <w:lang w:val="en-GB"/>
              </w:rPr>
              <w:t>opening local bank accounts; d)</w:t>
            </w:r>
            <w:r w:rsidR="00FE74C2" w:rsidRPr="00E00301">
              <w:rPr>
                <w:rFonts w:ascii="Century Gothic" w:hAnsi="Century Gothic"/>
                <w:bCs/>
                <w:szCs w:val="18"/>
                <w:lang w:val="en-GB"/>
              </w:rPr>
              <w:t xml:space="preserve"> </w:t>
            </w:r>
            <w:r w:rsidRPr="00E00301">
              <w:rPr>
                <w:rFonts w:ascii="Century Gothic" w:hAnsi="Century Gothic"/>
                <w:bCs/>
                <w:szCs w:val="18"/>
                <w:lang w:val="en-GB"/>
              </w:rPr>
              <w:t>subscribing to local operators (mobiles, television,</w:t>
            </w:r>
            <w:r w:rsidR="00FE74C2" w:rsidRPr="00E00301">
              <w:rPr>
                <w:rFonts w:ascii="Century Gothic" w:hAnsi="Century Gothic"/>
                <w:bCs/>
                <w:szCs w:val="18"/>
                <w:lang w:val="en-GB"/>
              </w:rPr>
              <w:t xml:space="preserve"> internet); e) attending Maltese/</w:t>
            </w:r>
            <w:r w:rsidRPr="00E00301">
              <w:rPr>
                <w:rFonts w:ascii="Century Gothic" w:hAnsi="Century Gothic"/>
                <w:bCs/>
                <w:szCs w:val="18"/>
                <w:lang w:val="en-GB"/>
              </w:rPr>
              <w:t>English language courses; f)</w:t>
            </w:r>
            <w:r w:rsidR="00FE74C2" w:rsidRPr="00E00301">
              <w:rPr>
                <w:rFonts w:ascii="Century Gothic" w:hAnsi="Century Gothic"/>
                <w:bCs/>
                <w:szCs w:val="18"/>
                <w:lang w:val="en-GB"/>
              </w:rPr>
              <w:t xml:space="preserve"> </w:t>
            </w:r>
            <w:r w:rsidRPr="00E00301">
              <w:rPr>
                <w:rFonts w:ascii="Century Gothic" w:hAnsi="Century Gothic"/>
                <w:bCs/>
                <w:szCs w:val="18"/>
                <w:lang w:val="en-GB"/>
              </w:rPr>
              <w:t xml:space="preserve">paying for local services (cleaning, architectural, supply services, </w:t>
            </w:r>
            <w:r w:rsidR="00FE74C2" w:rsidRPr="00E00301">
              <w:rPr>
                <w:rFonts w:ascii="Century Gothic" w:hAnsi="Century Gothic"/>
                <w:bCs/>
                <w:szCs w:val="18"/>
                <w:lang w:val="en-GB"/>
              </w:rPr>
              <w:t>etc); g)</w:t>
            </w:r>
            <w:r w:rsidR="00CF6F1C">
              <w:rPr>
                <w:rFonts w:ascii="Century Gothic" w:hAnsi="Century Gothic"/>
                <w:bCs/>
                <w:szCs w:val="18"/>
                <w:lang w:val="en-GB"/>
              </w:rPr>
              <w:t xml:space="preserve"> </w:t>
            </w:r>
            <w:r w:rsidR="00FE74C2" w:rsidRPr="00E00301">
              <w:rPr>
                <w:rFonts w:ascii="Century Gothic" w:hAnsi="Century Gothic"/>
                <w:bCs/>
                <w:szCs w:val="18"/>
                <w:lang w:val="en-GB"/>
              </w:rPr>
              <w:t>applying for a Maltese d</w:t>
            </w:r>
            <w:r w:rsidRPr="00E00301">
              <w:rPr>
                <w:rFonts w:ascii="Century Gothic" w:hAnsi="Century Gothic"/>
                <w:bCs/>
                <w:szCs w:val="18"/>
                <w:lang w:val="en-GB"/>
              </w:rPr>
              <w:t>r</w:t>
            </w:r>
            <w:r w:rsidR="00FE74C2" w:rsidRPr="00E00301">
              <w:rPr>
                <w:rFonts w:ascii="Century Gothic" w:hAnsi="Century Gothic"/>
                <w:bCs/>
                <w:szCs w:val="18"/>
                <w:lang w:val="en-GB"/>
              </w:rPr>
              <w:t>iving l</w:t>
            </w:r>
            <w:r w:rsidRPr="00E00301">
              <w:rPr>
                <w:rFonts w:ascii="Century Gothic" w:hAnsi="Century Gothic"/>
                <w:bCs/>
                <w:szCs w:val="18"/>
                <w:lang w:val="en-GB"/>
              </w:rPr>
              <w:t>icence; h)</w:t>
            </w:r>
            <w:r w:rsidR="00FE74C2" w:rsidRPr="00E00301">
              <w:rPr>
                <w:rFonts w:ascii="Century Gothic" w:hAnsi="Century Gothic"/>
                <w:bCs/>
                <w:szCs w:val="18"/>
                <w:lang w:val="en-GB"/>
              </w:rPr>
              <w:t xml:space="preserve"> </w:t>
            </w:r>
            <w:r w:rsidRPr="00E00301">
              <w:rPr>
                <w:rFonts w:ascii="Century Gothic" w:hAnsi="Century Gothic"/>
                <w:bCs/>
                <w:szCs w:val="18"/>
                <w:lang w:val="en-GB"/>
              </w:rPr>
              <w:t xml:space="preserve">paying income tax to the Maltese Inland Revenue Department; and </w:t>
            </w:r>
            <w:proofErr w:type="spellStart"/>
            <w:r w:rsidRPr="00E00301">
              <w:rPr>
                <w:rFonts w:ascii="Century Gothic" w:hAnsi="Century Gothic"/>
                <w:bCs/>
                <w:szCs w:val="18"/>
                <w:lang w:val="en-GB"/>
              </w:rPr>
              <w:t>i</w:t>
            </w:r>
            <w:proofErr w:type="spellEnd"/>
            <w:r w:rsidRPr="00E00301">
              <w:rPr>
                <w:rFonts w:ascii="Century Gothic" w:hAnsi="Century Gothic"/>
                <w:bCs/>
                <w:szCs w:val="18"/>
                <w:lang w:val="en-GB"/>
              </w:rPr>
              <w:t>)</w:t>
            </w:r>
            <w:r w:rsidR="00FE74C2" w:rsidRPr="00E00301">
              <w:rPr>
                <w:rFonts w:ascii="Century Gothic" w:hAnsi="Century Gothic"/>
                <w:bCs/>
                <w:szCs w:val="18"/>
                <w:lang w:val="en-GB"/>
              </w:rPr>
              <w:t xml:space="preserve"> </w:t>
            </w:r>
            <w:r w:rsidRPr="00E00301">
              <w:rPr>
                <w:rFonts w:ascii="Century Gothic" w:hAnsi="Century Gothic"/>
                <w:bCs/>
                <w:szCs w:val="18"/>
                <w:lang w:val="en-GB"/>
              </w:rPr>
              <w:t>purchasing/leasing additional properties in Malta.</w:t>
            </w:r>
            <w:r w:rsidRPr="00E00301">
              <w:rPr>
                <w:rStyle w:val="FootnoteReference"/>
                <w:rFonts w:ascii="Century Gothic" w:hAnsi="Century Gothic"/>
                <w:bCs/>
                <w:szCs w:val="18"/>
                <w:lang w:val="en-GB"/>
              </w:rPr>
              <w:t xml:space="preserve"> </w:t>
            </w:r>
            <w:r w:rsidRPr="00E00301">
              <w:rPr>
                <w:rStyle w:val="FootnoteReference"/>
                <w:rFonts w:ascii="Century Gothic" w:hAnsi="Century Gothic"/>
                <w:bCs/>
                <w:szCs w:val="18"/>
                <w:lang w:val="en-GB"/>
              </w:rPr>
              <w:footnoteReference w:id="109"/>
            </w:r>
            <w:r w:rsidR="00142B7B" w:rsidRPr="00E00301">
              <w:rPr>
                <w:rFonts w:ascii="Century Gothic" w:hAnsi="Century Gothic"/>
                <w:bCs/>
                <w:szCs w:val="18"/>
                <w:lang w:val="en-GB"/>
              </w:rPr>
              <w:t xml:space="preserve">  </w:t>
            </w:r>
          </w:p>
          <w:p w14:paraId="4E92ADA9" w14:textId="77777777" w:rsidR="00142B7B" w:rsidRPr="00E00301" w:rsidRDefault="00142B7B" w:rsidP="00FE74C2">
            <w:pPr>
              <w:jc w:val="both"/>
              <w:rPr>
                <w:rFonts w:ascii="Century Gothic" w:hAnsi="Century Gothic"/>
                <w:bCs/>
                <w:szCs w:val="18"/>
                <w:lang w:val="en-GB"/>
              </w:rPr>
            </w:pPr>
          </w:p>
          <w:p w14:paraId="6C1D03E9" w14:textId="77777777" w:rsidR="005349EF" w:rsidRPr="00E00301" w:rsidRDefault="00142B7B" w:rsidP="00FE74C2">
            <w:pPr>
              <w:jc w:val="both"/>
              <w:rPr>
                <w:rFonts w:ascii="Century Gothic" w:hAnsi="Century Gothic"/>
                <w:bCs/>
                <w:szCs w:val="18"/>
                <w:lang w:val="en-GB"/>
              </w:rPr>
            </w:pPr>
            <w:r w:rsidRPr="00E00301">
              <w:rPr>
                <w:rFonts w:ascii="Century Gothic" w:hAnsi="Century Gothic"/>
                <w:bCs/>
                <w:szCs w:val="18"/>
                <w:lang w:val="en-GB"/>
              </w:rPr>
              <w:t>Malta does not have a customised programm</w:t>
            </w:r>
            <w:r w:rsidR="00FE74C2" w:rsidRPr="00E00301">
              <w:rPr>
                <w:rFonts w:ascii="Century Gothic" w:hAnsi="Century Gothic"/>
                <w:bCs/>
                <w:szCs w:val="18"/>
                <w:lang w:val="en-GB"/>
              </w:rPr>
              <w:t>e for creating a link with the S</w:t>
            </w:r>
            <w:r w:rsidRPr="00E00301">
              <w:rPr>
                <w:rFonts w:ascii="Century Gothic" w:hAnsi="Century Gothic"/>
                <w:bCs/>
                <w:szCs w:val="18"/>
                <w:lang w:val="en-GB"/>
              </w:rPr>
              <w:t>tate (e.g., a language/culture course). Rather, evidence of residence and evidence of links</w:t>
            </w:r>
            <w:r w:rsidR="001B1591" w:rsidRPr="00E00301">
              <w:rPr>
                <w:rFonts w:ascii="Century Gothic" w:hAnsi="Century Gothic"/>
                <w:bCs/>
                <w:szCs w:val="18"/>
                <w:lang w:val="en-GB"/>
              </w:rPr>
              <w:t xml:space="preserve"> as discussed in </w:t>
            </w:r>
            <w:r w:rsidR="00FE74C2" w:rsidRPr="00E00301">
              <w:rPr>
                <w:rFonts w:ascii="Century Gothic" w:hAnsi="Century Gothic"/>
                <w:bCs/>
                <w:szCs w:val="18"/>
                <w:lang w:val="en-GB"/>
              </w:rPr>
              <w:t>points</w:t>
            </w:r>
            <w:r w:rsidR="001B1591" w:rsidRPr="00E00301">
              <w:rPr>
                <w:rFonts w:ascii="Century Gothic" w:hAnsi="Century Gothic"/>
                <w:bCs/>
                <w:szCs w:val="18"/>
                <w:lang w:val="en-GB"/>
              </w:rPr>
              <w:t xml:space="preserve"> 2.1 and 2.2</w:t>
            </w:r>
            <w:r w:rsidRPr="00E00301">
              <w:rPr>
                <w:rFonts w:ascii="Century Gothic" w:hAnsi="Century Gothic"/>
                <w:bCs/>
                <w:szCs w:val="18"/>
                <w:lang w:val="en-GB"/>
              </w:rPr>
              <w:t xml:space="preserve"> </w:t>
            </w:r>
            <w:r w:rsidR="00FE74C2" w:rsidRPr="00E00301">
              <w:rPr>
                <w:rFonts w:ascii="Century Gothic" w:hAnsi="Century Gothic"/>
                <w:bCs/>
                <w:szCs w:val="18"/>
                <w:lang w:val="en-GB"/>
              </w:rPr>
              <w:t xml:space="preserve">above </w:t>
            </w:r>
            <w:r w:rsidRPr="00E00301">
              <w:rPr>
                <w:rFonts w:ascii="Century Gothic" w:hAnsi="Century Gothic"/>
                <w:bCs/>
                <w:szCs w:val="18"/>
                <w:lang w:val="en-GB"/>
              </w:rPr>
              <w:t xml:space="preserve">are used to attest to the existence of a ‘genuine link’. </w:t>
            </w:r>
          </w:p>
        </w:tc>
        <w:tc>
          <w:tcPr>
            <w:tcW w:w="811" w:type="pct"/>
            <w:shd w:val="clear" w:color="auto" w:fill="F2F2F2" w:themeFill="background1" w:themeFillShade="F2"/>
          </w:tcPr>
          <w:p w14:paraId="302BE17B" w14:textId="77777777" w:rsidR="00AC2EEB" w:rsidRPr="00E00301" w:rsidRDefault="00FE74C2" w:rsidP="00FE74C2">
            <w:pPr>
              <w:jc w:val="both"/>
              <w:rPr>
                <w:rFonts w:ascii="Century Gothic" w:hAnsi="Century Gothic"/>
                <w:b/>
                <w:bCs/>
                <w:szCs w:val="18"/>
                <w:lang w:val="en-GB"/>
              </w:rPr>
            </w:pPr>
            <w:r w:rsidRPr="00E00301">
              <w:rPr>
                <w:rFonts w:ascii="Century Gothic" w:hAnsi="Century Gothic"/>
                <w:bCs/>
                <w:szCs w:val="18"/>
                <w:lang w:val="en-GB"/>
              </w:rPr>
              <w:t>See points 1.1, 1.2 and 1.3 above.</w:t>
            </w:r>
          </w:p>
        </w:tc>
      </w:tr>
    </w:tbl>
    <w:p w14:paraId="2CD6645C" w14:textId="77777777" w:rsidR="00D64D27" w:rsidRDefault="00D64D27" w:rsidP="003C31B7">
      <w:pPr>
        <w:pStyle w:val="MH2"/>
        <w:numPr>
          <w:ilvl w:val="0"/>
          <w:numId w:val="0"/>
        </w:numPr>
        <w:outlineLvl w:val="9"/>
      </w:pPr>
    </w:p>
    <w:p w14:paraId="37D4DF23" w14:textId="77777777" w:rsidR="007D22A1" w:rsidRDefault="007D22A1" w:rsidP="008135CE">
      <w:pPr>
        <w:pStyle w:val="MBT"/>
      </w:pPr>
    </w:p>
    <w:p w14:paraId="7C8100A7" w14:textId="77777777" w:rsidR="007D22A1" w:rsidRDefault="007D22A1" w:rsidP="008135CE">
      <w:pPr>
        <w:pStyle w:val="MBT"/>
      </w:pPr>
    </w:p>
    <w:p w14:paraId="634D33EB" w14:textId="77777777" w:rsidR="007D22A1" w:rsidRDefault="007D22A1" w:rsidP="008135CE">
      <w:pPr>
        <w:pStyle w:val="MBT"/>
      </w:pPr>
    </w:p>
    <w:p w14:paraId="6A319D6B" w14:textId="77777777" w:rsidR="00823296" w:rsidRDefault="00823296" w:rsidP="008135CE">
      <w:pPr>
        <w:pStyle w:val="MBT"/>
      </w:pPr>
    </w:p>
    <w:p w14:paraId="0C70FEE5" w14:textId="77777777" w:rsidR="00823296" w:rsidRDefault="00823296" w:rsidP="008135CE">
      <w:pPr>
        <w:pStyle w:val="MBT"/>
      </w:pPr>
    </w:p>
    <w:p w14:paraId="65EF55AE" w14:textId="77777777" w:rsidR="00823296" w:rsidRDefault="00823296" w:rsidP="008135CE">
      <w:pPr>
        <w:pStyle w:val="MBT"/>
      </w:pPr>
    </w:p>
    <w:p w14:paraId="29B6E0C9" w14:textId="77777777" w:rsidR="00823296" w:rsidRDefault="00823296" w:rsidP="008135CE">
      <w:pPr>
        <w:pStyle w:val="MBT"/>
      </w:pPr>
    </w:p>
    <w:p w14:paraId="23CDA626" w14:textId="77777777" w:rsidR="007D22A1" w:rsidRPr="007D22A1" w:rsidRDefault="007D22A1" w:rsidP="008135CE">
      <w:pPr>
        <w:pStyle w:val="MBT"/>
      </w:pPr>
    </w:p>
    <w:p w14:paraId="236BC93D" w14:textId="77777777" w:rsidR="00AC2EEB" w:rsidRPr="0095105E" w:rsidRDefault="00AC2EEB" w:rsidP="00AC2EEB">
      <w:pPr>
        <w:pStyle w:val="MH2"/>
        <w:outlineLvl w:val="9"/>
      </w:pPr>
      <w:r w:rsidRPr="0044090D">
        <w:t>Due diligence crite</w:t>
      </w:r>
      <w:r w:rsidR="00FE74C2">
        <w:t>ria and security considerations</w:t>
      </w:r>
    </w:p>
    <w:tbl>
      <w:tblPr>
        <w:tblStyle w:val="TableGrid"/>
        <w:tblW w:w="5000" w:type="pct"/>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Layout w:type="fixed"/>
        <w:tblLook w:val="04A0" w:firstRow="1" w:lastRow="0" w:firstColumn="1" w:lastColumn="0" w:noHBand="0" w:noVBand="1"/>
      </w:tblPr>
      <w:tblGrid>
        <w:gridCol w:w="7221"/>
        <w:gridCol w:w="3827"/>
        <w:gridCol w:w="1558"/>
        <w:gridCol w:w="1332"/>
      </w:tblGrid>
      <w:tr w:rsidR="0030367B" w:rsidRPr="00E00301" w14:paraId="1332CD49" w14:textId="77777777" w:rsidTr="0030367B">
        <w:tc>
          <w:tcPr>
            <w:tcW w:w="2590" w:type="pct"/>
            <w:shd w:val="clear" w:color="auto" w:fill="B8CCE4" w:themeFill="accent1" w:themeFillTint="66"/>
          </w:tcPr>
          <w:p w14:paraId="7913DCEF"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Due diligence and security considerations</w:t>
            </w:r>
          </w:p>
          <w:p w14:paraId="0A0FAA5F" w14:textId="77777777" w:rsidR="00AC2EEB" w:rsidRPr="00E00301" w:rsidRDefault="00AC2EEB" w:rsidP="0095105E">
            <w:pPr>
              <w:pStyle w:val="ListParagraph"/>
              <w:contextualSpacing w:val="0"/>
              <w:jc w:val="left"/>
              <w:rPr>
                <w:rFonts w:ascii="Century Gothic" w:hAnsi="Century Gothic"/>
                <w:i/>
                <w:color w:val="FF0000"/>
                <w:sz w:val="18"/>
                <w:szCs w:val="18"/>
              </w:rPr>
            </w:pPr>
          </w:p>
        </w:tc>
        <w:tc>
          <w:tcPr>
            <w:tcW w:w="1373" w:type="pct"/>
            <w:shd w:val="clear" w:color="auto" w:fill="B8CCE4" w:themeFill="accent1" w:themeFillTint="66"/>
          </w:tcPr>
          <w:p w14:paraId="1607C792"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 xml:space="preserve">Procedure </w:t>
            </w:r>
          </w:p>
          <w:p w14:paraId="437FE356" w14:textId="77777777" w:rsidR="00AC2EEB" w:rsidRPr="00E00301" w:rsidRDefault="00AC2EEB" w:rsidP="003C31B7">
            <w:pPr>
              <w:rPr>
                <w:rFonts w:ascii="Century Gothic" w:hAnsi="Century Gothic"/>
                <w:i/>
                <w:color w:val="FF0000"/>
                <w:szCs w:val="18"/>
              </w:rPr>
            </w:pPr>
          </w:p>
        </w:tc>
        <w:tc>
          <w:tcPr>
            <w:tcW w:w="559" w:type="pct"/>
            <w:shd w:val="clear" w:color="auto" w:fill="B8CCE4" w:themeFill="accent1" w:themeFillTint="66"/>
          </w:tcPr>
          <w:p w14:paraId="1C413608" w14:textId="77777777" w:rsidR="00AC2EEB" w:rsidRPr="00E00301" w:rsidRDefault="00AC2EEB" w:rsidP="003C31B7">
            <w:pPr>
              <w:jc w:val="center"/>
              <w:rPr>
                <w:rFonts w:ascii="Century Gothic" w:hAnsi="Century Gothic"/>
                <w:b/>
                <w:bCs/>
                <w:szCs w:val="18"/>
                <w:lang w:val="en-GB"/>
              </w:rPr>
            </w:pPr>
            <w:r w:rsidRPr="00E00301">
              <w:rPr>
                <w:rFonts w:ascii="Century Gothic" w:hAnsi="Century Gothic"/>
                <w:b/>
                <w:bCs/>
                <w:szCs w:val="18"/>
                <w:lang w:val="en-GB"/>
              </w:rPr>
              <w:t>Competent authorities</w:t>
            </w:r>
            <w:r w:rsidR="00882C9A">
              <w:rPr>
                <w:rFonts w:ascii="Century Gothic" w:hAnsi="Century Gothic"/>
                <w:b/>
                <w:bCs/>
                <w:szCs w:val="18"/>
                <w:lang w:val="en-GB"/>
              </w:rPr>
              <w:t xml:space="preserve"> and non-public bodies</w:t>
            </w:r>
          </w:p>
        </w:tc>
        <w:tc>
          <w:tcPr>
            <w:tcW w:w="478" w:type="pct"/>
            <w:shd w:val="clear" w:color="auto" w:fill="B8CCE4" w:themeFill="accent1" w:themeFillTint="66"/>
          </w:tcPr>
          <w:p w14:paraId="0CC297F1" w14:textId="77777777" w:rsidR="00AC2EEB" w:rsidRPr="00E00301" w:rsidRDefault="00AC2EEB" w:rsidP="00BD262D">
            <w:pPr>
              <w:jc w:val="center"/>
              <w:rPr>
                <w:rFonts w:ascii="Century Gothic" w:hAnsi="Century Gothic"/>
                <w:b/>
                <w:bCs/>
                <w:szCs w:val="18"/>
                <w:lang w:val="en-GB"/>
              </w:rPr>
            </w:pPr>
            <w:r w:rsidRPr="00E00301">
              <w:rPr>
                <w:rFonts w:ascii="Century Gothic" w:hAnsi="Century Gothic"/>
                <w:b/>
                <w:bCs/>
                <w:szCs w:val="18"/>
                <w:lang w:val="en-GB"/>
              </w:rPr>
              <w:t xml:space="preserve">Abuse and ex-post checks </w:t>
            </w:r>
          </w:p>
          <w:p w14:paraId="204BB386" w14:textId="77777777" w:rsidR="00AC2EEB" w:rsidRPr="00E00301" w:rsidRDefault="00AC2EEB" w:rsidP="00227227">
            <w:pPr>
              <w:rPr>
                <w:rFonts w:ascii="Century Gothic" w:hAnsi="Century Gothic"/>
                <w:bCs/>
                <w:i/>
                <w:color w:val="FF0000"/>
                <w:szCs w:val="18"/>
              </w:rPr>
            </w:pPr>
          </w:p>
        </w:tc>
      </w:tr>
      <w:tr w:rsidR="0030367B" w:rsidRPr="00340E44" w14:paraId="17F89C24" w14:textId="77777777" w:rsidTr="00C46E63">
        <w:tc>
          <w:tcPr>
            <w:tcW w:w="2590" w:type="pct"/>
            <w:shd w:val="clear" w:color="auto" w:fill="F2F2F2" w:themeFill="background1" w:themeFillShade="F2"/>
          </w:tcPr>
          <w:p w14:paraId="1EFA2670" w14:textId="071FDD66" w:rsidR="00AC2EEB" w:rsidRPr="00E00301" w:rsidRDefault="009A3FFF" w:rsidP="00F54A7A">
            <w:pPr>
              <w:jc w:val="both"/>
              <w:rPr>
                <w:rFonts w:ascii="Century Gothic" w:hAnsi="Century Gothic"/>
                <w:bCs/>
                <w:szCs w:val="18"/>
                <w:lang w:val="en-GB"/>
              </w:rPr>
            </w:pPr>
            <w:r w:rsidRPr="00E00301">
              <w:rPr>
                <w:rFonts w:ascii="Century Gothic" w:hAnsi="Century Gothic"/>
                <w:bCs/>
                <w:szCs w:val="18"/>
                <w:lang w:val="en-GB"/>
              </w:rPr>
              <w:t xml:space="preserve">Regulation 5 of </w:t>
            </w:r>
            <w:r w:rsidR="00CB788C" w:rsidRPr="00E00301">
              <w:rPr>
                <w:rFonts w:ascii="Century Gothic" w:hAnsi="Century Gothic"/>
                <w:bCs/>
                <w:szCs w:val="18"/>
                <w:lang w:val="en-GB"/>
              </w:rPr>
              <w:t xml:space="preserve">LN 47/2014 provides the </w:t>
            </w:r>
            <w:r w:rsidR="00F54A7A" w:rsidRPr="00E00301">
              <w:rPr>
                <w:rFonts w:ascii="Century Gothic" w:hAnsi="Century Gothic"/>
                <w:bCs/>
                <w:szCs w:val="18"/>
                <w:lang w:val="en-GB"/>
              </w:rPr>
              <w:t xml:space="preserve">eligibility criteria for applications under the IIP. </w:t>
            </w:r>
            <w:r w:rsidRPr="00E00301">
              <w:rPr>
                <w:rFonts w:ascii="Century Gothic" w:hAnsi="Century Gothic"/>
                <w:bCs/>
                <w:szCs w:val="18"/>
                <w:lang w:val="en-GB"/>
              </w:rPr>
              <w:t>In addition</w:t>
            </w:r>
            <w:r w:rsidR="00F54A7A" w:rsidRPr="00E00301">
              <w:rPr>
                <w:rFonts w:ascii="Century Gothic" w:hAnsi="Century Gothic"/>
                <w:bCs/>
                <w:szCs w:val="18"/>
                <w:lang w:val="en-GB"/>
              </w:rPr>
              <w:t xml:space="preserve"> to the qualifications and general requirements set out in Regulation 4</w:t>
            </w:r>
            <w:r w:rsidR="005C6522" w:rsidRPr="00E00301">
              <w:rPr>
                <w:rFonts w:ascii="Century Gothic" w:hAnsi="Century Gothic"/>
                <w:bCs/>
                <w:szCs w:val="18"/>
                <w:lang w:val="en-GB"/>
              </w:rPr>
              <w:t xml:space="preserve"> (see </w:t>
            </w:r>
            <w:r w:rsidR="00ED0841" w:rsidRPr="00E00301">
              <w:rPr>
                <w:rFonts w:ascii="Century Gothic" w:hAnsi="Century Gothic"/>
                <w:bCs/>
                <w:szCs w:val="18"/>
                <w:lang w:val="en-GB"/>
              </w:rPr>
              <w:t xml:space="preserve">point </w:t>
            </w:r>
            <w:r w:rsidR="00723677" w:rsidRPr="00E00301">
              <w:rPr>
                <w:rFonts w:ascii="Century Gothic" w:hAnsi="Century Gothic"/>
                <w:bCs/>
                <w:szCs w:val="18"/>
                <w:lang w:val="en-GB"/>
              </w:rPr>
              <w:t>1.1</w:t>
            </w:r>
            <w:r w:rsidR="005C6522" w:rsidRPr="00E00301">
              <w:rPr>
                <w:rFonts w:ascii="Century Gothic" w:hAnsi="Century Gothic"/>
                <w:bCs/>
                <w:szCs w:val="18"/>
                <w:lang w:val="en-GB"/>
              </w:rPr>
              <w:t xml:space="preserve"> above)</w:t>
            </w:r>
            <w:r w:rsidR="00F54A7A" w:rsidRPr="00E00301">
              <w:rPr>
                <w:rFonts w:ascii="Century Gothic" w:hAnsi="Century Gothic"/>
                <w:bCs/>
                <w:szCs w:val="18"/>
                <w:lang w:val="en-GB"/>
              </w:rPr>
              <w:t xml:space="preserve">, </w:t>
            </w:r>
            <w:r w:rsidR="00F54A7A" w:rsidRPr="00E00301">
              <w:rPr>
                <w:rFonts w:ascii="Century Gothic" w:hAnsi="Century Gothic"/>
                <w:b/>
                <w:bCs/>
                <w:szCs w:val="18"/>
                <w:lang w:val="en-GB"/>
              </w:rPr>
              <w:t xml:space="preserve">the applicant and any </w:t>
            </w:r>
            <w:r w:rsidRPr="00E00301">
              <w:rPr>
                <w:rFonts w:ascii="Century Gothic" w:hAnsi="Century Gothic"/>
                <w:b/>
                <w:bCs/>
                <w:szCs w:val="18"/>
                <w:lang w:val="en-GB"/>
              </w:rPr>
              <w:t>of</w:t>
            </w:r>
            <w:r w:rsidR="00F54A7A" w:rsidRPr="00E00301">
              <w:rPr>
                <w:rFonts w:ascii="Century Gothic" w:hAnsi="Century Gothic"/>
                <w:b/>
                <w:bCs/>
                <w:szCs w:val="18"/>
                <w:lang w:val="en-GB"/>
              </w:rPr>
              <w:t xml:space="preserve"> his</w:t>
            </w:r>
            <w:r w:rsidR="006C3111" w:rsidRPr="00E00301">
              <w:rPr>
                <w:rFonts w:ascii="Century Gothic" w:hAnsi="Century Gothic"/>
                <w:b/>
                <w:bCs/>
                <w:szCs w:val="18"/>
                <w:lang w:val="en-GB"/>
              </w:rPr>
              <w:t>/her</w:t>
            </w:r>
            <w:r w:rsidR="00F54A7A" w:rsidRPr="00E00301">
              <w:rPr>
                <w:rFonts w:ascii="Century Gothic" w:hAnsi="Century Gothic"/>
                <w:b/>
                <w:bCs/>
                <w:szCs w:val="18"/>
                <w:lang w:val="en-GB"/>
              </w:rPr>
              <w:t xml:space="preserve"> dependants</w:t>
            </w:r>
            <w:r w:rsidR="00C90075" w:rsidRPr="00E00301">
              <w:rPr>
                <w:rFonts w:ascii="Century Gothic" w:hAnsi="Century Gothic"/>
                <w:b/>
                <w:bCs/>
                <w:szCs w:val="18"/>
                <w:lang w:val="en-GB"/>
              </w:rPr>
              <w:t xml:space="preserve"> are subject to a number of checks</w:t>
            </w:r>
            <w:r w:rsidR="00D276B3">
              <w:rPr>
                <w:rFonts w:ascii="Century Gothic" w:hAnsi="Century Gothic"/>
                <w:b/>
                <w:bCs/>
                <w:szCs w:val="18"/>
                <w:lang w:val="en-GB"/>
              </w:rPr>
              <w:t xml:space="preserve"> that constitute the due diligence requirements</w:t>
            </w:r>
            <w:r w:rsidR="00C90075" w:rsidRPr="00E00301">
              <w:rPr>
                <w:rFonts w:ascii="Century Gothic" w:hAnsi="Century Gothic"/>
                <w:bCs/>
                <w:szCs w:val="18"/>
                <w:lang w:val="en-GB"/>
              </w:rPr>
              <w:t>:</w:t>
            </w:r>
          </w:p>
          <w:p w14:paraId="7DA16403" w14:textId="77777777" w:rsidR="00C90075" w:rsidRPr="00E00301" w:rsidRDefault="00C90075"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 xml:space="preserve">A proper background verification of the applicant and his </w:t>
            </w:r>
            <w:r w:rsidR="00CE2434" w:rsidRPr="00E00301">
              <w:rPr>
                <w:rFonts w:ascii="Century Gothic" w:hAnsi="Century Gothic"/>
                <w:bCs/>
                <w:sz w:val="18"/>
                <w:szCs w:val="18"/>
              </w:rPr>
              <w:t>dependants</w:t>
            </w:r>
            <w:r w:rsidRPr="00E00301">
              <w:rPr>
                <w:rFonts w:ascii="Century Gothic" w:hAnsi="Century Gothic"/>
                <w:bCs/>
                <w:sz w:val="18"/>
                <w:szCs w:val="18"/>
              </w:rPr>
              <w:t xml:space="preserve"> over 12 years of age</w:t>
            </w:r>
            <w:r w:rsidR="00CE2434" w:rsidRPr="00E00301">
              <w:rPr>
                <w:rFonts w:ascii="Century Gothic" w:hAnsi="Century Gothic"/>
                <w:bCs/>
                <w:sz w:val="18"/>
                <w:szCs w:val="18"/>
              </w:rPr>
              <w:t>;</w:t>
            </w:r>
          </w:p>
          <w:p w14:paraId="3386B250" w14:textId="77777777" w:rsidR="00C90075" w:rsidRPr="00E00301" w:rsidRDefault="00C90075"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 xml:space="preserve">A police certificate issued by the Malta police and a police certificate issued by the competent authorities in the country of origin and </w:t>
            </w:r>
            <w:r w:rsidR="009A3FFF" w:rsidRPr="00E00301">
              <w:rPr>
                <w:rFonts w:ascii="Century Gothic" w:hAnsi="Century Gothic"/>
                <w:bCs/>
                <w:sz w:val="18"/>
                <w:szCs w:val="18"/>
              </w:rPr>
              <w:t>in</w:t>
            </w:r>
            <w:r w:rsidRPr="00E00301">
              <w:rPr>
                <w:rFonts w:ascii="Century Gothic" w:hAnsi="Century Gothic"/>
                <w:bCs/>
                <w:sz w:val="18"/>
                <w:szCs w:val="18"/>
              </w:rPr>
              <w:t xml:space="preserve"> the </w:t>
            </w:r>
            <w:r w:rsidR="009A3FFF" w:rsidRPr="00E00301">
              <w:rPr>
                <w:rFonts w:ascii="Century Gothic" w:hAnsi="Century Gothic"/>
                <w:bCs/>
                <w:sz w:val="18"/>
                <w:szCs w:val="18"/>
              </w:rPr>
              <w:t>country</w:t>
            </w:r>
            <w:r w:rsidRPr="00E00301">
              <w:rPr>
                <w:rFonts w:ascii="Century Gothic" w:hAnsi="Century Gothic"/>
                <w:bCs/>
                <w:sz w:val="18"/>
                <w:szCs w:val="18"/>
              </w:rPr>
              <w:t xml:space="preserve"> or countries of residence where the applicant has resided for more than six months during the last ten years, or in exceptional circumstances where it </w:t>
            </w:r>
            <w:r w:rsidR="00CE2434" w:rsidRPr="00E00301">
              <w:rPr>
                <w:rFonts w:ascii="Century Gothic" w:hAnsi="Century Gothic"/>
                <w:bCs/>
                <w:sz w:val="18"/>
                <w:szCs w:val="18"/>
              </w:rPr>
              <w:t>is</w:t>
            </w:r>
            <w:r w:rsidR="00ED0841" w:rsidRPr="00E00301">
              <w:rPr>
                <w:rFonts w:ascii="Century Gothic" w:hAnsi="Century Gothic"/>
                <w:bCs/>
                <w:sz w:val="18"/>
                <w:szCs w:val="18"/>
              </w:rPr>
              <w:t xml:space="preserve"> prove</w:t>
            </w:r>
            <w:r w:rsidRPr="00E00301">
              <w:rPr>
                <w:rFonts w:ascii="Century Gothic" w:hAnsi="Century Gothic"/>
                <w:bCs/>
                <w:sz w:val="18"/>
                <w:szCs w:val="18"/>
              </w:rPr>
              <w:t xml:space="preserve">d to </w:t>
            </w:r>
            <w:r w:rsidR="00ED0841" w:rsidRPr="00E00301">
              <w:rPr>
                <w:rFonts w:ascii="Century Gothic" w:hAnsi="Century Gothic"/>
                <w:bCs/>
                <w:sz w:val="18"/>
                <w:szCs w:val="18"/>
              </w:rPr>
              <w:t xml:space="preserve">Identity Malta’s </w:t>
            </w:r>
            <w:r w:rsidRPr="00E00301">
              <w:rPr>
                <w:rFonts w:ascii="Century Gothic" w:hAnsi="Century Gothic"/>
                <w:bCs/>
                <w:sz w:val="18"/>
                <w:szCs w:val="18"/>
              </w:rPr>
              <w:t>satisfaction that such a certificate is not obtainable, a sworn affidavit by the applicant and any dependants, declaring a clean criminal record;</w:t>
            </w:r>
          </w:p>
          <w:p w14:paraId="51737E34" w14:textId="77777777" w:rsidR="00C90075" w:rsidRPr="00E00301" w:rsidRDefault="006C3111"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Verification that t</w:t>
            </w:r>
            <w:r w:rsidR="00C90075" w:rsidRPr="00E00301">
              <w:rPr>
                <w:rFonts w:ascii="Century Gothic" w:hAnsi="Century Gothic"/>
                <w:bCs/>
                <w:sz w:val="18"/>
                <w:szCs w:val="18"/>
              </w:rPr>
              <w:t>he applicant and/or any dependants are not listed with INTE</w:t>
            </w:r>
            <w:r w:rsidRPr="00E00301">
              <w:rPr>
                <w:rFonts w:ascii="Century Gothic" w:hAnsi="Century Gothic"/>
                <w:bCs/>
                <w:sz w:val="18"/>
                <w:szCs w:val="18"/>
              </w:rPr>
              <w:t>RPOL at the time of application. Checks in other EU or international databases are not required by LN 47/2014;</w:t>
            </w:r>
          </w:p>
          <w:p w14:paraId="56BD743F" w14:textId="77777777" w:rsidR="00C90075" w:rsidRPr="00E00301" w:rsidRDefault="006C3111"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 xml:space="preserve">Verification that the </w:t>
            </w:r>
            <w:r w:rsidR="00CB788C" w:rsidRPr="00E00301">
              <w:rPr>
                <w:rFonts w:ascii="Century Gothic" w:hAnsi="Century Gothic"/>
                <w:bCs/>
                <w:sz w:val="18"/>
                <w:szCs w:val="18"/>
              </w:rPr>
              <w:t>applicant and/or any dependant</w:t>
            </w:r>
            <w:r w:rsidR="00C90075" w:rsidRPr="00E00301">
              <w:rPr>
                <w:rFonts w:ascii="Century Gothic" w:hAnsi="Century Gothic"/>
                <w:bCs/>
                <w:sz w:val="18"/>
                <w:szCs w:val="18"/>
              </w:rPr>
              <w:t xml:space="preserve"> is not, or may not be a potential threat to national security, public policy or public health;</w:t>
            </w:r>
          </w:p>
          <w:p w14:paraId="3D21692E" w14:textId="77777777" w:rsidR="00C90075" w:rsidRPr="00E00301" w:rsidRDefault="00C90075"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 xml:space="preserve">The </w:t>
            </w:r>
            <w:r w:rsidR="009A3FFF" w:rsidRPr="00E00301">
              <w:rPr>
                <w:rFonts w:ascii="Century Gothic" w:hAnsi="Century Gothic"/>
                <w:bCs/>
                <w:sz w:val="18"/>
                <w:szCs w:val="18"/>
              </w:rPr>
              <w:t>applicant</w:t>
            </w:r>
            <w:r w:rsidRPr="00E00301">
              <w:rPr>
                <w:rFonts w:ascii="Century Gothic" w:hAnsi="Century Gothic"/>
                <w:bCs/>
                <w:sz w:val="18"/>
                <w:szCs w:val="18"/>
              </w:rPr>
              <w:t xml:space="preserve"> and/or </w:t>
            </w:r>
            <w:r w:rsidR="00CE2434" w:rsidRPr="00E00301">
              <w:rPr>
                <w:rFonts w:ascii="Century Gothic" w:hAnsi="Century Gothic"/>
                <w:bCs/>
                <w:sz w:val="18"/>
                <w:szCs w:val="18"/>
              </w:rPr>
              <w:t>dependants</w:t>
            </w:r>
            <w:r w:rsidRPr="00E00301">
              <w:rPr>
                <w:rFonts w:ascii="Century Gothic" w:hAnsi="Century Gothic"/>
                <w:bCs/>
                <w:sz w:val="18"/>
                <w:szCs w:val="18"/>
              </w:rPr>
              <w:t xml:space="preserve"> must not have pending charges</w:t>
            </w:r>
            <w:r w:rsidR="006C3111" w:rsidRPr="00E00301">
              <w:rPr>
                <w:rFonts w:ascii="Century Gothic" w:hAnsi="Century Gothic"/>
                <w:bCs/>
                <w:sz w:val="18"/>
                <w:szCs w:val="18"/>
              </w:rPr>
              <w:t xml:space="preserve"> or have been found guilty of crimes</w:t>
            </w:r>
            <w:r w:rsidRPr="00E00301">
              <w:rPr>
                <w:rFonts w:ascii="Century Gothic" w:hAnsi="Century Gothic"/>
                <w:bCs/>
                <w:sz w:val="18"/>
                <w:szCs w:val="18"/>
              </w:rPr>
              <w:t xml:space="preserve"> related to terrorism, money laundering, funding of terr</w:t>
            </w:r>
            <w:r w:rsidR="009A3FFF" w:rsidRPr="00E00301">
              <w:rPr>
                <w:rFonts w:ascii="Century Gothic" w:hAnsi="Century Gothic"/>
                <w:bCs/>
                <w:sz w:val="18"/>
                <w:szCs w:val="18"/>
              </w:rPr>
              <w:t>or</w:t>
            </w:r>
            <w:r w:rsidRPr="00E00301">
              <w:rPr>
                <w:rFonts w:ascii="Century Gothic" w:hAnsi="Century Gothic"/>
                <w:bCs/>
                <w:sz w:val="18"/>
                <w:szCs w:val="18"/>
              </w:rPr>
              <w:t xml:space="preserve">ism, crimes against humanity, war crimes, or </w:t>
            </w:r>
            <w:r w:rsidR="009A3FFF" w:rsidRPr="00E00301">
              <w:rPr>
                <w:rFonts w:ascii="Century Gothic" w:hAnsi="Century Gothic"/>
                <w:bCs/>
                <w:sz w:val="18"/>
                <w:szCs w:val="18"/>
              </w:rPr>
              <w:t>crimes</w:t>
            </w:r>
            <w:r w:rsidRPr="00E00301">
              <w:rPr>
                <w:rFonts w:ascii="Century Gothic" w:hAnsi="Century Gothic"/>
                <w:bCs/>
                <w:sz w:val="18"/>
                <w:szCs w:val="18"/>
              </w:rPr>
              <w:t xml:space="preserve"> that </w:t>
            </w:r>
            <w:r w:rsidR="009A3FFF" w:rsidRPr="00E00301">
              <w:rPr>
                <w:rFonts w:ascii="Century Gothic" w:hAnsi="Century Gothic"/>
                <w:bCs/>
                <w:sz w:val="18"/>
                <w:szCs w:val="18"/>
              </w:rPr>
              <w:t>infringe</w:t>
            </w:r>
            <w:r w:rsidRPr="00E00301">
              <w:rPr>
                <w:rFonts w:ascii="Century Gothic" w:hAnsi="Century Gothic"/>
                <w:bCs/>
                <w:sz w:val="18"/>
                <w:szCs w:val="18"/>
              </w:rPr>
              <w:t xml:space="preserve"> upon protection of human </w:t>
            </w:r>
            <w:r w:rsidR="006C3111" w:rsidRPr="00E00301">
              <w:rPr>
                <w:rFonts w:ascii="Century Gothic" w:hAnsi="Century Gothic"/>
                <w:bCs/>
                <w:sz w:val="18"/>
                <w:szCs w:val="18"/>
              </w:rPr>
              <w:t>rights and fundamental freedoms;</w:t>
            </w:r>
          </w:p>
          <w:p w14:paraId="45CCF0D0" w14:textId="77777777" w:rsidR="00C90075" w:rsidRPr="00E00301" w:rsidRDefault="00C90075"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The applicant an</w:t>
            </w:r>
            <w:r w:rsidR="00723677" w:rsidRPr="00E00301">
              <w:rPr>
                <w:rFonts w:ascii="Century Gothic" w:hAnsi="Century Gothic"/>
                <w:bCs/>
                <w:sz w:val="18"/>
                <w:szCs w:val="18"/>
              </w:rPr>
              <w:t>d</w:t>
            </w:r>
            <w:r w:rsidRPr="00E00301">
              <w:rPr>
                <w:rFonts w:ascii="Century Gothic" w:hAnsi="Century Gothic"/>
                <w:bCs/>
                <w:sz w:val="18"/>
                <w:szCs w:val="18"/>
              </w:rPr>
              <w:t xml:space="preserve">/or dependants must not have been found guilty or have charges against </w:t>
            </w:r>
            <w:r w:rsidR="006C3111" w:rsidRPr="00E00301">
              <w:rPr>
                <w:rFonts w:ascii="Century Gothic" w:hAnsi="Century Gothic"/>
                <w:bCs/>
                <w:sz w:val="18"/>
                <w:szCs w:val="18"/>
              </w:rPr>
              <w:t>them</w:t>
            </w:r>
            <w:r w:rsidRPr="00E00301">
              <w:rPr>
                <w:rFonts w:ascii="Century Gothic" w:hAnsi="Century Gothic"/>
                <w:bCs/>
                <w:sz w:val="18"/>
                <w:szCs w:val="18"/>
              </w:rPr>
              <w:t xml:space="preserve"> regarding any crimes that disturb the go</w:t>
            </w:r>
            <w:r w:rsidR="006C3111" w:rsidRPr="00E00301">
              <w:rPr>
                <w:rFonts w:ascii="Century Gothic" w:hAnsi="Century Gothic"/>
                <w:bCs/>
                <w:sz w:val="18"/>
                <w:szCs w:val="18"/>
              </w:rPr>
              <w:t>o</w:t>
            </w:r>
            <w:r w:rsidRPr="00E00301">
              <w:rPr>
                <w:rFonts w:ascii="Century Gothic" w:hAnsi="Century Gothic"/>
                <w:bCs/>
                <w:sz w:val="18"/>
                <w:szCs w:val="18"/>
              </w:rPr>
              <w:t>d order of the family including, without limitation</w:t>
            </w:r>
            <w:r w:rsidR="00CE2434" w:rsidRPr="00E00301">
              <w:rPr>
                <w:rFonts w:ascii="Century Gothic" w:hAnsi="Century Gothic"/>
                <w:bCs/>
                <w:sz w:val="18"/>
                <w:szCs w:val="18"/>
              </w:rPr>
              <w:t>,</w:t>
            </w:r>
            <w:r w:rsidRPr="00E00301">
              <w:rPr>
                <w:rFonts w:ascii="Century Gothic" w:hAnsi="Century Gothic"/>
                <w:bCs/>
                <w:sz w:val="18"/>
                <w:szCs w:val="18"/>
              </w:rPr>
              <w:t xml:space="preserve"> paedophilia, defilement of minors, rape, violent indecent assault, inducing minors to prostitution and abduction;</w:t>
            </w:r>
          </w:p>
          <w:p w14:paraId="623F3301" w14:textId="77777777" w:rsidR="00C90075"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The</w:t>
            </w:r>
            <w:r w:rsidR="009A3FFF" w:rsidRPr="00E00301">
              <w:rPr>
                <w:rFonts w:ascii="Century Gothic" w:hAnsi="Century Gothic"/>
                <w:bCs/>
                <w:sz w:val="18"/>
                <w:szCs w:val="18"/>
              </w:rPr>
              <w:t xml:space="preserve"> applicant and/or depe</w:t>
            </w:r>
            <w:r w:rsidR="00C90075" w:rsidRPr="00E00301">
              <w:rPr>
                <w:rFonts w:ascii="Century Gothic" w:hAnsi="Century Gothic"/>
                <w:bCs/>
                <w:sz w:val="18"/>
                <w:szCs w:val="18"/>
              </w:rPr>
              <w:t xml:space="preserve">ndants must not have been found guilty or be in the process of being interrogated and suspected, </w:t>
            </w:r>
            <w:r w:rsidR="00413E49" w:rsidRPr="00E00301">
              <w:rPr>
                <w:rFonts w:ascii="Century Gothic" w:hAnsi="Century Gothic"/>
                <w:bCs/>
                <w:sz w:val="18"/>
                <w:szCs w:val="18"/>
              </w:rPr>
              <w:t>to</w:t>
            </w:r>
            <w:r w:rsidR="00C90075" w:rsidRPr="00E00301">
              <w:rPr>
                <w:rFonts w:ascii="Century Gothic" w:hAnsi="Century Gothic"/>
                <w:bCs/>
                <w:sz w:val="18"/>
                <w:szCs w:val="18"/>
              </w:rPr>
              <w:t xml:space="preserve"> have criminal charges </w:t>
            </w:r>
            <w:r w:rsidR="006C3111" w:rsidRPr="00E00301">
              <w:rPr>
                <w:rFonts w:ascii="Century Gothic" w:hAnsi="Century Gothic"/>
                <w:bCs/>
                <w:sz w:val="18"/>
                <w:szCs w:val="18"/>
              </w:rPr>
              <w:t xml:space="preserve">brought </w:t>
            </w:r>
            <w:r w:rsidR="00C90075" w:rsidRPr="00E00301">
              <w:rPr>
                <w:rFonts w:ascii="Century Gothic" w:hAnsi="Century Gothic"/>
                <w:bCs/>
                <w:sz w:val="18"/>
                <w:szCs w:val="18"/>
              </w:rPr>
              <w:t xml:space="preserve">against </w:t>
            </w:r>
            <w:r w:rsidR="006C3111" w:rsidRPr="00E00301">
              <w:rPr>
                <w:rFonts w:ascii="Century Gothic" w:hAnsi="Century Gothic"/>
                <w:bCs/>
                <w:sz w:val="18"/>
                <w:szCs w:val="18"/>
              </w:rPr>
              <w:t>them</w:t>
            </w:r>
            <w:r w:rsidR="00C90075" w:rsidRPr="00E00301">
              <w:rPr>
                <w:rFonts w:ascii="Century Gothic" w:hAnsi="Century Gothic"/>
                <w:bCs/>
                <w:sz w:val="18"/>
                <w:szCs w:val="18"/>
              </w:rPr>
              <w:t xml:space="preserve"> for any crime, other than an involuntary offence, punishable with more than </w:t>
            </w:r>
            <w:proofErr w:type="gramStart"/>
            <w:r w:rsidR="00C90075" w:rsidRPr="00E00301">
              <w:rPr>
                <w:rFonts w:ascii="Century Gothic" w:hAnsi="Century Gothic"/>
                <w:bCs/>
                <w:sz w:val="18"/>
                <w:szCs w:val="18"/>
              </w:rPr>
              <w:t>one year</w:t>
            </w:r>
            <w:proofErr w:type="gramEnd"/>
            <w:r w:rsidR="00C90075" w:rsidRPr="00E00301">
              <w:rPr>
                <w:rFonts w:ascii="Century Gothic" w:hAnsi="Century Gothic"/>
                <w:bCs/>
                <w:sz w:val="18"/>
                <w:szCs w:val="18"/>
              </w:rPr>
              <w:t xml:space="preserve"> imprisonment. The applicant must attach to </w:t>
            </w:r>
            <w:r w:rsidR="00723677" w:rsidRPr="00E00301">
              <w:rPr>
                <w:rFonts w:ascii="Century Gothic" w:hAnsi="Century Gothic"/>
                <w:bCs/>
                <w:sz w:val="18"/>
                <w:szCs w:val="18"/>
              </w:rPr>
              <w:t>the</w:t>
            </w:r>
            <w:r w:rsidR="00C90075" w:rsidRPr="00E00301">
              <w:rPr>
                <w:rFonts w:ascii="Century Gothic" w:hAnsi="Century Gothic"/>
                <w:bCs/>
                <w:sz w:val="18"/>
                <w:szCs w:val="18"/>
              </w:rPr>
              <w:t xml:space="preserve"> application a sworn declaration before a commissioner for oaths, lawyer o</w:t>
            </w:r>
            <w:r w:rsidRPr="00E00301">
              <w:rPr>
                <w:rFonts w:ascii="Century Gothic" w:hAnsi="Century Gothic"/>
                <w:bCs/>
                <w:sz w:val="18"/>
                <w:szCs w:val="18"/>
              </w:rPr>
              <w:t>r</w:t>
            </w:r>
            <w:r w:rsidR="00C90075" w:rsidRPr="00E00301">
              <w:rPr>
                <w:rFonts w:ascii="Century Gothic" w:hAnsi="Century Gothic"/>
                <w:bCs/>
                <w:sz w:val="18"/>
                <w:szCs w:val="18"/>
              </w:rPr>
              <w:t xml:space="preserve"> notary that the information provided is true and correct</w:t>
            </w:r>
            <w:r w:rsidR="006C3111" w:rsidRPr="00E00301">
              <w:rPr>
                <w:rFonts w:ascii="Century Gothic" w:hAnsi="Century Gothic"/>
                <w:bCs/>
                <w:sz w:val="18"/>
                <w:szCs w:val="18"/>
              </w:rPr>
              <w:t>;</w:t>
            </w:r>
          </w:p>
          <w:p w14:paraId="72E54624" w14:textId="77777777" w:rsidR="00813C18"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lastRenderedPageBreak/>
              <w:t>Required</w:t>
            </w:r>
            <w:r w:rsidR="00C90075" w:rsidRPr="00E00301">
              <w:rPr>
                <w:rFonts w:ascii="Century Gothic" w:hAnsi="Century Gothic"/>
                <w:bCs/>
                <w:sz w:val="18"/>
                <w:szCs w:val="18"/>
              </w:rPr>
              <w:t xml:space="preserve"> documents must be originals or certified copies and the persons certifyin</w:t>
            </w:r>
            <w:r w:rsidRPr="00E00301">
              <w:rPr>
                <w:rFonts w:ascii="Century Gothic" w:hAnsi="Century Gothic"/>
                <w:bCs/>
                <w:sz w:val="18"/>
                <w:szCs w:val="18"/>
              </w:rPr>
              <w:t>g a document must provide the</w:t>
            </w:r>
            <w:r w:rsidR="006C3111" w:rsidRPr="00E00301">
              <w:rPr>
                <w:rFonts w:ascii="Century Gothic" w:hAnsi="Century Gothic"/>
                <w:bCs/>
                <w:sz w:val="18"/>
                <w:szCs w:val="18"/>
              </w:rPr>
              <w:t>ir</w:t>
            </w:r>
            <w:r w:rsidRPr="00E00301">
              <w:rPr>
                <w:rFonts w:ascii="Century Gothic" w:hAnsi="Century Gothic"/>
                <w:bCs/>
                <w:sz w:val="18"/>
                <w:szCs w:val="18"/>
              </w:rPr>
              <w:t xml:space="preserve"> fu</w:t>
            </w:r>
            <w:r w:rsidR="00C90075" w:rsidRPr="00E00301">
              <w:rPr>
                <w:rFonts w:ascii="Century Gothic" w:hAnsi="Century Gothic"/>
                <w:bCs/>
                <w:sz w:val="18"/>
                <w:szCs w:val="18"/>
              </w:rPr>
              <w:t xml:space="preserve">ll name, capacity in which </w:t>
            </w:r>
            <w:r w:rsidR="006C3111" w:rsidRPr="00E00301">
              <w:rPr>
                <w:rFonts w:ascii="Century Gothic" w:hAnsi="Century Gothic"/>
                <w:bCs/>
                <w:sz w:val="18"/>
                <w:szCs w:val="18"/>
              </w:rPr>
              <w:t>they are</w:t>
            </w:r>
            <w:r w:rsidR="00C90075" w:rsidRPr="00E00301">
              <w:rPr>
                <w:rFonts w:ascii="Century Gothic" w:hAnsi="Century Gothic"/>
                <w:bCs/>
                <w:sz w:val="18"/>
                <w:szCs w:val="18"/>
              </w:rPr>
              <w:t xml:space="preserve"> acting, residential or business address, telephone number and email address</w:t>
            </w:r>
            <w:r w:rsidR="00813C18">
              <w:rPr>
                <w:rFonts w:ascii="Century Gothic" w:hAnsi="Century Gothic"/>
                <w:bCs/>
                <w:sz w:val="18"/>
                <w:szCs w:val="18"/>
              </w:rPr>
              <w:t>.</w:t>
            </w:r>
          </w:p>
          <w:p w14:paraId="0360504D" w14:textId="77777777" w:rsidR="008A6219" w:rsidRDefault="008A6219" w:rsidP="007D7A98">
            <w:pPr>
              <w:rPr>
                <w:rFonts w:ascii="Century Gothic" w:hAnsi="Century Gothic"/>
                <w:bCs/>
                <w:szCs w:val="18"/>
                <w:lang w:val="en-US"/>
              </w:rPr>
            </w:pPr>
          </w:p>
          <w:p w14:paraId="20F54C07" w14:textId="5D068EA3" w:rsidR="008A6219" w:rsidRDefault="008A6219" w:rsidP="008A6219">
            <w:pPr>
              <w:jc w:val="both"/>
              <w:rPr>
                <w:rFonts w:ascii="Century Gothic" w:hAnsi="Century Gothic"/>
                <w:bCs/>
                <w:szCs w:val="18"/>
                <w:lang w:val="en-US"/>
              </w:rPr>
            </w:pPr>
            <w:r>
              <w:rPr>
                <w:rFonts w:ascii="Century Gothic" w:hAnsi="Century Gothic"/>
                <w:bCs/>
                <w:szCs w:val="18"/>
                <w:lang w:val="en-US"/>
              </w:rPr>
              <w:t>Identity Malta confirmed that a</w:t>
            </w:r>
            <w:r w:rsidRPr="00772F88">
              <w:rPr>
                <w:rFonts w:ascii="Century Gothic" w:hAnsi="Century Gothic"/>
                <w:bCs/>
                <w:szCs w:val="18"/>
                <w:lang w:val="en-US"/>
              </w:rPr>
              <w:t xml:space="preserve"> </w:t>
            </w:r>
            <w:r w:rsidRPr="00772F88">
              <w:rPr>
                <w:rFonts w:ascii="Century Gothic" w:hAnsi="Century Gothic"/>
                <w:b/>
                <w:bCs/>
                <w:szCs w:val="18"/>
                <w:lang w:val="en-US"/>
              </w:rPr>
              <w:t>four-tier due diligence process</w:t>
            </w:r>
            <w:r w:rsidRPr="00813C18">
              <w:rPr>
                <w:rFonts w:ascii="Century Gothic" w:hAnsi="Century Gothic"/>
                <w:bCs/>
                <w:szCs w:val="18"/>
                <w:lang w:val="en-US"/>
              </w:rPr>
              <w:t xml:space="preserve"> is in place</w:t>
            </w:r>
            <w:r>
              <w:rPr>
                <w:rFonts w:ascii="Century Gothic" w:hAnsi="Century Gothic"/>
                <w:bCs/>
                <w:szCs w:val="18"/>
                <w:lang w:val="en-US"/>
              </w:rPr>
              <w:t>:</w:t>
            </w:r>
            <w:r w:rsidR="00F72830">
              <w:rPr>
                <w:rStyle w:val="FootnoteReference"/>
                <w:rFonts w:ascii="Century Gothic" w:hAnsi="Century Gothic"/>
                <w:bCs/>
                <w:szCs w:val="18"/>
                <w:lang w:val="en-US"/>
              </w:rPr>
              <w:footnoteReference w:id="110"/>
            </w:r>
          </w:p>
          <w:p w14:paraId="7D7268E7" w14:textId="2329C61E" w:rsidR="008A6219" w:rsidRDefault="008A6219" w:rsidP="008A6219">
            <w:pPr>
              <w:jc w:val="both"/>
              <w:rPr>
                <w:rFonts w:ascii="Century Gothic" w:hAnsi="Century Gothic"/>
                <w:bCs/>
                <w:szCs w:val="18"/>
                <w:lang w:val="en-US"/>
              </w:rPr>
            </w:pPr>
            <w:r>
              <w:rPr>
                <w:rFonts w:ascii="Century Gothic" w:hAnsi="Century Gothic"/>
                <w:bCs/>
                <w:szCs w:val="18"/>
                <w:lang w:val="en-US"/>
              </w:rPr>
              <w:t>(</w:t>
            </w:r>
            <w:proofErr w:type="spellStart"/>
            <w:r>
              <w:rPr>
                <w:rFonts w:ascii="Century Gothic" w:hAnsi="Century Gothic"/>
                <w:bCs/>
                <w:szCs w:val="18"/>
                <w:lang w:val="en-US"/>
              </w:rPr>
              <w:t>i</w:t>
            </w:r>
            <w:proofErr w:type="spellEnd"/>
            <w:r>
              <w:rPr>
                <w:rFonts w:ascii="Century Gothic" w:hAnsi="Century Gothic"/>
                <w:bCs/>
                <w:szCs w:val="18"/>
                <w:lang w:val="en-US"/>
              </w:rPr>
              <w:t>)</w:t>
            </w:r>
            <w:r w:rsidRPr="00772F88">
              <w:rPr>
                <w:rFonts w:ascii="Century Gothic" w:hAnsi="Century Gothic"/>
                <w:bCs/>
                <w:szCs w:val="18"/>
                <w:lang w:val="en-US"/>
              </w:rPr>
              <w:t xml:space="preserve"> </w:t>
            </w:r>
            <w:r>
              <w:rPr>
                <w:rFonts w:ascii="Century Gothic" w:hAnsi="Century Gothic"/>
                <w:bCs/>
                <w:szCs w:val="18"/>
                <w:lang w:val="en-US"/>
              </w:rPr>
              <w:t>First Tier:</w:t>
            </w:r>
            <w:r w:rsidRPr="00772F88">
              <w:rPr>
                <w:rFonts w:ascii="Century Gothic" w:hAnsi="Century Gothic"/>
                <w:bCs/>
                <w:szCs w:val="18"/>
                <w:lang w:val="en-US"/>
              </w:rPr>
              <w:t xml:space="preserve"> sta</w:t>
            </w:r>
            <w:r>
              <w:rPr>
                <w:rFonts w:ascii="Century Gothic" w:hAnsi="Century Gothic"/>
                <w:bCs/>
                <w:szCs w:val="18"/>
                <w:lang w:val="en-US"/>
              </w:rPr>
              <w:t>ndard know-you</w:t>
            </w:r>
            <w:r w:rsidR="00AE1DDB">
              <w:rPr>
                <w:rFonts w:ascii="Century Gothic" w:hAnsi="Century Gothic"/>
                <w:bCs/>
                <w:szCs w:val="18"/>
                <w:lang w:val="en-US"/>
              </w:rPr>
              <w:t>r</w:t>
            </w:r>
            <w:r>
              <w:rPr>
                <w:rFonts w:ascii="Century Gothic" w:hAnsi="Century Gothic"/>
                <w:bCs/>
                <w:szCs w:val="18"/>
                <w:lang w:val="en-US"/>
              </w:rPr>
              <w:t xml:space="preserve">-client due diligence check through databases such as </w:t>
            </w:r>
            <w:proofErr w:type="spellStart"/>
            <w:r>
              <w:rPr>
                <w:rFonts w:ascii="Century Gothic" w:hAnsi="Century Gothic"/>
                <w:bCs/>
                <w:szCs w:val="18"/>
                <w:lang w:val="en-US"/>
              </w:rPr>
              <w:t>Worldcheck</w:t>
            </w:r>
            <w:proofErr w:type="spellEnd"/>
            <w:r>
              <w:rPr>
                <w:rFonts w:ascii="Century Gothic" w:hAnsi="Century Gothic"/>
                <w:bCs/>
                <w:szCs w:val="18"/>
                <w:lang w:val="en-US"/>
              </w:rPr>
              <w:t>. This check is carried out by both the Approved Agent and by Identity Malta’s IIP unit.</w:t>
            </w:r>
          </w:p>
          <w:p w14:paraId="292F673F" w14:textId="77777777" w:rsidR="008A6219" w:rsidRDefault="008A6219" w:rsidP="008A6219">
            <w:pPr>
              <w:jc w:val="both"/>
              <w:rPr>
                <w:rFonts w:ascii="Century Gothic" w:hAnsi="Century Gothic"/>
                <w:bCs/>
                <w:szCs w:val="18"/>
                <w:lang w:val="en-US"/>
              </w:rPr>
            </w:pPr>
            <w:r>
              <w:rPr>
                <w:rFonts w:ascii="Century Gothic" w:hAnsi="Century Gothic"/>
                <w:bCs/>
                <w:szCs w:val="18"/>
                <w:lang w:val="en-US"/>
              </w:rPr>
              <w:t xml:space="preserve">(ii) Second Tier: clearance by the police authorities through a number of databases including INTERPOL and EUROPOL who then send a report to the IIP unit stating whether or not there are any issues with the IIP applicant. </w:t>
            </w:r>
          </w:p>
          <w:p w14:paraId="1A98A325" w14:textId="23691D88" w:rsidR="008A6219" w:rsidRDefault="008A6219" w:rsidP="008A6219">
            <w:pPr>
              <w:jc w:val="both"/>
              <w:rPr>
                <w:rFonts w:ascii="Century Gothic" w:hAnsi="Century Gothic"/>
                <w:bCs/>
                <w:szCs w:val="18"/>
                <w:lang w:val="en-US"/>
              </w:rPr>
            </w:pPr>
            <w:r>
              <w:rPr>
                <w:rFonts w:ascii="Century Gothic" w:hAnsi="Century Gothic"/>
                <w:bCs/>
                <w:szCs w:val="18"/>
                <w:lang w:val="en-US"/>
              </w:rPr>
              <w:t xml:space="preserve">(ii) Third Tier: a two-stage check by Identity Malta. The first check is for the completeness and correctness of the application. This check would identify anomalies in the application form which highlight any potential risk. Where there are missing documents, problems of format or errors, a request for resubmission is made to the Approved Agent and the application is suspended until the problems are rectified. The second check consists of an online due diligence check and verification of documents submitted. This involves checking with international databases for sanctioned individuals and companies. Searches are conducted on all the main applicants and </w:t>
            </w:r>
            <w:proofErr w:type="spellStart"/>
            <w:r>
              <w:rPr>
                <w:rFonts w:ascii="Century Gothic" w:hAnsi="Century Gothic"/>
                <w:bCs/>
                <w:szCs w:val="18"/>
                <w:lang w:val="en-US"/>
              </w:rPr>
              <w:t>dependants</w:t>
            </w:r>
            <w:proofErr w:type="spellEnd"/>
            <w:r>
              <w:rPr>
                <w:rFonts w:ascii="Century Gothic" w:hAnsi="Century Gothic"/>
                <w:bCs/>
                <w:szCs w:val="18"/>
                <w:lang w:val="en-US"/>
              </w:rPr>
              <w:t xml:space="preserve"> applying for citizenship, their corporate affiliations, any </w:t>
            </w:r>
            <w:r w:rsidR="00AE1DDB">
              <w:rPr>
                <w:rFonts w:ascii="Century Gothic" w:hAnsi="Century Gothic"/>
                <w:bCs/>
                <w:szCs w:val="18"/>
                <w:lang w:val="en-US"/>
              </w:rPr>
              <w:t>one-time</w:t>
            </w:r>
            <w:r>
              <w:rPr>
                <w:rFonts w:ascii="Century Gothic" w:hAnsi="Century Gothic"/>
                <w:bCs/>
                <w:szCs w:val="18"/>
                <w:lang w:val="en-US"/>
              </w:rPr>
              <w:t xml:space="preserve"> significa</w:t>
            </w:r>
            <w:r w:rsidR="00AE1DDB">
              <w:rPr>
                <w:rFonts w:ascii="Century Gothic" w:hAnsi="Century Gothic"/>
                <w:bCs/>
                <w:szCs w:val="18"/>
                <w:lang w:val="en-US"/>
              </w:rPr>
              <w:t>nt transactions, donations</w:t>
            </w:r>
            <w:r>
              <w:rPr>
                <w:rFonts w:ascii="Century Gothic" w:hAnsi="Century Gothic"/>
                <w:bCs/>
                <w:szCs w:val="18"/>
                <w:lang w:val="en-US"/>
              </w:rPr>
              <w:t xml:space="preserve"> or inheritance, and any significant business partners or very close associates.</w:t>
            </w:r>
          </w:p>
          <w:p w14:paraId="6CB79250" w14:textId="77777777" w:rsidR="008A6219" w:rsidRDefault="008A6219" w:rsidP="008A6219">
            <w:pPr>
              <w:jc w:val="both"/>
              <w:rPr>
                <w:rFonts w:ascii="Century Gothic" w:hAnsi="Century Gothic"/>
                <w:bCs/>
                <w:szCs w:val="18"/>
                <w:lang w:val="en-US"/>
              </w:rPr>
            </w:pPr>
            <w:r>
              <w:rPr>
                <w:rFonts w:ascii="Century Gothic" w:hAnsi="Century Gothic"/>
                <w:bCs/>
                <w:szCs w:val="18"/>
                <w:lang w:val="en-US"/>
              </w:rPr>
              <w:t xml:space="preserve">(iv) Fourth Tier: an outsourced due diligence check. Identity Malta commissions two reports from international companies on every IIP application. These checks include verification of all the information submitted, checks in international databases and local databases in each country of residence of the main applicant and his/her </w:t>
            </w:r>
            <w:proofErr w:type="spellStart"/>
            <w:r>
              <w:rPr>
                <w:rFonts w:ascii="Century Gothic" w:hAnsi="Century Gothic"/>
                <w:bCs/>
                <w:szCs w:val="18"/>
                <w:lang w:val="en-US"/>
              </w:rPr>
              <w:t>dependants</w:t>
            </w:r>
            <w:proofErr w:type="spellEnd"/>
            <w:r>
              <w:rPr>
                <w:rFonts w:ascii="Century Gothic" w:hAnsi="Century Gothic"/>
                <w:bCs/>
                <w:szCs w:val="18"/>
                <w:lang w:val="en-US"/>
              </w:rPr>
              <w:t>.</w:t>
            </w:r>
          </w:p>
          <w:p w14:paraId="5974F907" w14:textId="77777777" w:rsidR="008A6219" w:rsidRDefault="008A6219" w:rsidP="008A6219">
            <w:pPr>
              <w:jc w:val="both"/>
              <w:rPr>
                <w:rFonts w:ascii="Century Gothic" w:hAnsi="Century Gothic"/>
                <w:bCs/>
                <w:szCs w:val="18"/>
                <w:lang w:val="en-US"/>
              </w:rPr>
            </w:pPr>
          </w:p>
          <w:p w14:paraId="77826605" w14:textId="0ABBAED0" w:rsidR="008A6219" w:rsidRPr="00772F88" w:rsidRDefault="008A6219" w:rsidP="008A6219">
            <w:pPr>
              <w:jc w:val="both"/>
              <w:rPr>
                <w:rFonts w:ascii="Century Gothic" w:hAnsi="Century Gothic"/>
                <w:bCs/>
                <w:szCs w:val="18"/>
                <w:lang w:val="en-US"/>
              </w:rPr>
            </w:pPr>
            <w:r>
              <w:rPr>
                <w:rFonts w:ascii="Century Gothic" w:hAnsi="Century Gothic"/>
                <w:bCs/>
                <w:szCs w:val="18"/>
                <w:lang w:val="en-US"/>
              </w:rPr>
              <w:t>Once the above checks have taken place, another member of Identity Malta’s IIP due diligence team</w:t>
            </w:r>
            <w:r>
              <w:rPr>
                <w:rStyle w:val="FootnoteReference"/>
                <w:rFonts w:ascii="Century Gothic" w:hAnsi="Century Gothic"/>
                <w:bCs/>
                <w:szCs w:val="18"/>
                <w:lang w:val="en-US"/>
              </w:rPr>
              <w:footnoteReference w:id="111"/>
            </w:r>
            <w:r>
              <w:rPr>
                <w:rFonts w:ascii="Century Gothic" w:hAnsi="Century Gothic"/>
                <w:bCs/>
                <w:szCs w:val="18"/>
                <w:lang w:val="en-US"/>
              </w:rPr>
              <w:t xml:space="preserve"> reviews all the information collected both internally and externally and prepares an internal memorandum. Where necessary, Identity Malta will seek further information from the applicant and the due diligence companies. Once all questions are answered, every application is first discussed </w:t>
            </w:r>
            <w:r>
              <w:rPr>
                <w:rFonts w:ascii="Century Gothic" w:hAnsi="Century Gothic"/>
                <w:bCs/>
                <w:szCs w:val="18"/>
                <w:lang w:val="en-US"/>
              </w:rPr>
              <w:lastRenderedPageBreak/>
              <w:t>internally within the IIP due diligence team and subsequently with the IIP unit’s senior management team. If it is considered that more information or clarification is required before a recommendation to the Minister is made, these are requested from the applicant. Finally, the senior management</w:t>
            </w:r>
            <w:r w:rsidR="00AE1DDB">
              <w:rPr>
                <w:rFonts w:ascii="Century Gothic" w:hAnsi="Century Gothic"/>
                <w:bCs/>
                <w:szCs w:val="18"/>
                <w:lang w:val="en-US"/>
              </w:rPr>
              <w:t xml:space="preserve"> team</w:t>
            </w:r>
            <w:r>
              <w:rPr>
                <w:rFonts w:ascii="Century Gothic" w:hAnsi="Century Gothic"/>
                <w:bCs/>
                <w:szCs w:val="18"/>
                <w:lang w:val="en-US"/>
              </w:rPr>
              <w:t xml:space="preserve"> takes a collective decision where a recommendation is prepared and submitted to the Minister with all supporting documentation of due diligence reports and findings. The Minister and his/her team review the findings and take a final decision.</w:t>
            </w:r>
            <w:r w:rsidR="00F72830">
              <w:rPr>
                <w:rStyle w:val="FootnoteReference"/>
                <w:rFonts w:ascii="Century Gothic" w:hAnsi="Century Gothic"/>
                <w:bCs/>
                <w:szCs w:val="18"/>
                <w:lang w:val="en-US"/>
              </w:rPr>
              <w:footnoteReference w:id="112"/>
            </w:r>
          </w:p>
          <w:p w14:paraId="35EE493F" w14:textId="77777777" w:rsidR="007D7A98" w:rsidRPr="00B85F19" w:rsidRDefault="007D7A98" w:rsidP="007D7A98">
            <w:pPr>
              <w:rPr>
                <w:rFonts w:ascii="Century Gothic" w:hAnsi="Century Gothic"/>
                <w:bCs/>
                <w:szCs w:val="18"/>
                <w:lang w:val="en-US"/>
              </w:rPr>
            </w:pPr>
          </w:p>
          <w:p w14:paraId="75ED2DDB" w14:textId="1924FE34" w:rsidR="005C6522" w:rsidRDefault="007D7A98" w:rsidP="00FA0E00">
            <w:pPr>
              <w:jc w:val="both"/>
              <w:rPr>
                <w:rFonts w:ascii="Century Gothic" w:hAnsi="Century Gothic"/>
                <w:bCs/>
                <w:szCs w:val="18"/>
                <w:lang w:val="en-GB"/>
              </w:rPr>
            </w:pPr>
            <w:r w:rsidRPr="00E00301">
              <w:rPr>
                <w:rFonts w:ascii="Century Gothic" w:hAnsi="Century Gothic"/>
                <w:bCs/>
                <w:szCs w:val="18"/>
                <w:lang w:val="en-GB"/>
              </w:rPr>
              <w:t xml:space="preserve">Identity Malta is also required to </w:t>
            </w:r>
            <w:r w:rsidRPr="00E00301">
              <w:rPr>
                <w:rFonts w:ascii="Century Gothic" w:hAnsi="Century Gothic"/>
                <w:b/>
                <w:bCs/>
                <w:szCs w:val="18"/>
                <w:lang w:val="en-GB"/>
              </w:rPr>
              <w:t>verify the source of all funds</w:t>
            </w:r>
            <w:r w:rsidRPr="00E00301">
              <w:rPr>
                <w:rFonts w:ascii="Century Gothic" w:hAnsi="Century Gothic"/>
                <w:bCs/>
                <w:szCs w:val="18"/>
                <w:lang w:val="en-GB"/>
              </w:rPr>
              <w:t xml:space="preserve"> (Regulation 7(4) of LN 47/2014).</w:t>
            </w:r>
            <w:r w:rsidR="00CB788C" w:rsidRPr="00E00301">
              <w:rPr>
                <w:rFonts w:ascii="Century Gothic" w:hAnsi="Century Gothic"/>
                <w:bCs/>
                <w:szCs w:val="18"/>
                <w:lang w:val="en-GB"/>
              </w:rPr>
              <w:t xml:space="preserve"> </w:t>
            </w:r>
            <w:r w:rsidR="003F5502" w:rsidRPr="00E00301">
              <w:rPr>
                <w:rFonts w:ascii="Century Gothic" w:hAnsi="Century Gothic"/>
                <w:bCs/>
                <w:szCs w:val="18"/>
                <w:lang w:val="en-GB"/>
              </w:rPr>
              <w:t>When completing Form N</w:t>
            </w:r>
            <w:r w:rsidR="00723677" w:rsidRPr="00E00301">
              <w:rPr>
                <w:rFonts w:ascii="Century Gothic" w:hAnsi="Century Gothic"/>
                <w:bCs/>
                <w:szCs w:val="18"/>
                <w:lang w:val="en-GB"/>
              </w:rPr>
              <w:t xml:space="preserve"> (</w:t>
            </w:r>
            <w:r w:rsidR="00256772" w:rsidRPr="00E00301">
              <w:rPr>
                <w:rFonts w:ascii="Century Gothic" w:hAnsi="Century Gothic"/>
                <w:bCs/>
                <w:szCs w:val="18"/>
                <w:lang w:val="en-GB"/>
              </w:rPr>
              <w:t>s</w:t>
            </w:r>
            <w:r w:rsidR="00723677" w:rsidRPr="00E00301">
              <w:rPr>
                <w:rFonts w:ascii="Century Gothic" w:hAnsi="Century Gothic"/>
                <w:bCs/>
                <w:szCs w:val="18"/>
                <w:lang w:val="en-GB"/>
              </w:rPr>
              <w:t xml:space="preserve">ee </w:t>
            </w:r>
            <w:r w:rsidR="00FA0E00" w:rsidRPr="00E00301">
              <w:rPr>
                <w:rFonts w:ascii="Century Gothic" w:hAnsi="Century Gothic"/>
                <w:bCs/>
                <w:szCs w:val="18"/>
                <w:lang w:val="en-GB"/>
              </w:rPr>
              <w:t>point</w:t>
            </w:r>
            <w:r w:rsidR="00723677" w:rsidRPr="00E00301">
              <w:rPr>
                <w:rFonts w:ascii="Century Gothic" w:hAnsi="Century Gothic"/>
                <w:bCs/>
                <w:szCs w:val="18"/>
                <w:lang w:val="en-GB"/>
              </w:rPr>
              <w:t xml:space="preserve"> 1.1 above)</w:t>
            </w:r>
            <w:r w:rsidR="003F5502" w:rsidRPr="00E00301">
              <w:rPr>
                <w:rFonts w:ascii="Century Gothic" w:hAnsi="Century Gothic"/>
                <w:bCs/>
                <w:szCs w:val="18"/>
                <w:lang w:val="en-GB"/>
              </w:rPr>
              <w:t xml:space="preserve">, entry C14 requires the main applicant to confirm that his/her ‘wealth has been obtained from completely legitimate sources, and is not, whether directly or indirectly, derived from the proceeds of criminal activities of any kind’. </w:t>
            </w:r>
            <w:r w:rsidR="005C6522" w:rsidRPr="00E00301">
              <w:rPr>
                <w:rFonts w:ascii="Century Gothic" w:hAnsi="Century Gothic"/>
                <w:bCs/>
                <w:szCs w:val="18"/>
                <w:lang w:val="en-GB"/>
              </w:rPr>
              <w:t xml:space="preserve">The main applicant must </w:t>
            </w:r>
            <w:r w:rsidR="003F5502" w:rsidRPr="00E00301">
              <w:rPr>
                <w:rFonts w:ascii="Century Gothic" w:hAnsi="Century Gothic"/>
                <w:bCs/>
                <w:szCs w:val="18"/>
                <w:lang w:val="en-GB"/>
              </w:rPr>
              <w:t xml:space="preserve">also </w:t>
            </w:r>
            <w:r w:rsidR="005C6522" w:rsidRPr="00E00301">
              <w:rPr>
                <w:rFonts w:ascii="Century Gothic" w:hAnsi="Century Gothic"/>
                <w:bCs/>
                <w:szCs w:val="18"/>
                <w:lang w:val="en-GB"/>
              </w:rPr>
              <w:t>submit administrative ‘Form SSFW – Statement of Source of Funds and Wealth’</w:t>
            </w:r>
            <w:r w:rsidR="00EB3617" w:rsidRPr="00E00301">
              <w:rPr>
                <w:rStyle w:val="FootnoteReference"/>
                <w:rFonts w:ascii="Century Gothic" w:hAnsi="Century Gothic"/>
                <w:bCs/>
                <w:szCs w:val="18"/>
                <w:lang w:val="en-GB"/>
              </w:rPr>
              <w:footnoteReference w:id="113"/>
            </w:r>
            <w:r w:rsidR="005C6522" w:rsidRPr="00E00301">
              <w:rPr>
                <w:rFonts w:ascii="Century Gothic" w:hAnsi="Century Gothic"/>
                <w:bCs/>
                <w:szCs w:val="18"/>
                <w:lang w:val="en-GB"/>
              </w:rPr>
              <w:t xml:space="preserve"> accompanied by bank statement</w:t>
            </w:r>
            <w:r w:rsidR="00723677" w:rsidRPr="00E00301">
              <w:rPr>
                <w:rFonts w:ascii="Century Gothic" w:hAnsi="Century Gothic"/>
                <w:bCs/>
                <w:szCs w:val="18"/>
                <w:lang w:val="en-GB"/>
              </w:rPr>
              <w:t>s</w:t>
            </w:r>
            <w:r w:rsidR="005C6522" w:rsidRPr="00E00301">
              <w:rPr>
                <w:rFonts w:ascii="Century Gothic" w:hAnsi="Century Gothic"/>
                <w:bCs/>
                <w:szCs w:val="18"/>
                <w:lang w:val="en-GB"/>
              </w:rPr>
              <w:t xml:space="preserve"> for the previous three months for the account from which funds for the IIP are being remitted. Funds must be remitted fr</w:t>
            </w:r>
            <w:r w:rsidR="00906E5A">
              <w:rPr>
                <w:rFonts w:ascii="Century Gothic" w:hAnsi="Century Gothic"/>
                <w:bCs/>
                <w:szCs w:val="18"/>
                <w:lang w:val="en-GB"/>
              </w:rPr>
              <w:t>o</w:t>
            </w:r>
            <w:r w:rsidR="005C6522" w:rsidRPr="00E00301">
              <w:rPr>
                <w:rFonts w:ascii="Century Gothic" w:hAnsi="Century Gothic"/>
                <w:bCs/>
                <w:szCs w:val="18"/>
                <w:lang w:val="en-GB"/>
              </w:rPr>
              <w:t xml:space="preserve">m a personal account registered in the main applicant’s name. </w:t>
            </w:r>
            <w:r w:rsidR="00723677" w:rsidRPr="00E00301">
              <w:rPr>
                <w:rFonts w:ascii="Century Gothic" w:hAnsi="Century Gothic"/>
                <w:bCs/>
                <w:szCs w:val="18"/>
                <w:lang w:val="en-GB"/>
              </w:rPr>
              <w:t>If</w:t>
            </w:r>
            <w:r w:rsidR="005C6522" w:rsidRPr="00E00301">
              <w:rPr>
                <w:rFonts w:ascii="Century Gothic" w:hAnsi="Century Gothic"/>
                <w:bCs/>
                <w:szCs w:val="18"/>
                <w:lang w:val="en-GB"/>
              </w:rPr>
              <w:t xml:space="preserve"> funds are remitted from a corporate account, a board resolution must be submitted. Statements of bank accounts that have been recently </w:t>
            </w:r>
            <w:r w:rsidR="000E7B81" w:rsidRPr="00E00301">
              <w:rPr>
                <w:rFonts w:ascii="Century Gothic" w:hAnsi="Century Gothic"/>
                <w:bCs/>
                <w:szCs w:val="18"/>
                <w:lang w:val="en-GB"/>
              </w:rPr>
              <w:t>opened,</w:t>
            </w:r>
            <w:r w:rsidR="005C6522" w:rsidRPr="00E00301">
              <w:rPr>
                <w:rFonts w:ascii="Century Gothic" w:hAnsi="Century Gothic"/>
                <w:bCs/>
                <w:szCs w:val="18"/>
                <w:lang w:val="en-GB"/>
              </w:rPr>
              <w:t xml:space="preserve"> are not active, or that show a zero balance will not be accepted unless the main applicant’s feeder accounts are also provided and a written declaration documenting the issue is appended to the SFFW form. If the contribution is funded by a person other than the main applicant (e.g. the spouse </w:t>
            </w:r>
            <w:r w:rsidR="00723677" w:rsidRPr="00E00301">
              <w:rPr>
                <w:rFonts w:ascii="Century Gothic" w:hAnsi="Century Gothic"/>
                <w:bCs/>
                <w:szCs w:val="18"/>
                <w:lang w:val="en-GB"/>
              </w:rPr>
              <w:t>or an</w:t>
            </w:r>
            <w:r w:rsidR="005C6522" w:rsidRPr="00E00301">
              <w:rPr>
                <w:rFonts w:ascii="Century Gothic" w:hAnsi="Century Gothic"/>
                <w:bCs/>
                <w:szCs w:val="18"/>
                <w:lang w:val="en-GB"/>
              </w:rPr>
              <w:t xml:space="preserve"> adult dependant), the Benefactor must complete Forms SSFW and PDFEE (Personal Details, Family Information, Education and Employment)</w:t>
            </w:r>
            <w:r w:rsidR="00EB3617" w:rsidRPr="00E00301">
              <w:rPr>
                <w:rStyle w:val="FootnoteReference"/>
                <w:rFonts w:ascii="Century Gothic" w:hAnsi="Century Gothic"/>
                <w:bCs/>
                <w:szCs w:val="18"/>
                <w:lang w:val="en-GB"/>
              </w:rPr>
              <w:footnoteReference w:id="114"/>
            </w:r>
            <w:r w:rsidR="005C6522" w:rsidRPr="00E00301">
              <w:rPr>
                <w:rFonts w:ascii="Century Gothic" w:hAnsi="Century Gothic"/>
                <w:bCs/>
                <w:szCs w:val="18"/>
                <w:lang w:val="en-GB"/>
              </w:rPr>
              <w:t xml:space="preserve"> and provide a certified true copy of the original international passport and other due diligence documentation along with the bank statements and statements of bank accounts as described previously for the main applicant</w:t>
            </w:r>
            <w:r w:rsidR="00E00301">
              <w:rPr>
                <w:rFonts w:ascii="Century Gothic" w:hAnsi="Century Gothic"/>
                <w:bCs/>
                <w:szCs w:val="18"/>
                <w:lang w:val="en-GB"/>
              </w:rPr>
              <w:t>.</w:t>
            </w:r>
            <w:r w:rsidR="00723677" w:rsidRPr="00E00301">
              <w:rPr>
                <w:rStyle w:val="FootnoteReference"/>
                <w:rFonts w:ascii="Century Gothic" w:hAnsi="Century Gothic"/>
                <w:bCs/>
                <w:szCs w:val="18"/>
                <w:lang w:val="en-GB"/>
              </w:rPr>
              <w:footnoteReference w:id="115"/>
            </w:r>
          </w:p>
          <w:p w14:paraId="0940C16A" w14:textId="7FAA9C62" w:rsidR="00797638" w:rsidRDefault="00797638" w:rsidP="00797638">
            <w:pPr>
              <w:jc w:val="both"/>
              <w:rPr>
                <w:rFonts w:ascii="Century Gothic" w:hAnsi="Century Gothic"/>
                <w:bCs/>
                <w:szCs w:val="18"/>
                <w:lang w:val="en-GB"/>
              </w:rPr>
            </w:pPr>
          </w:p>
          <w:p w14:paraId="1448B888" w14:textId="1C0108F9" w:rsidR="00797638" w:rsidRDefault="00797638" w:rsidP="00797638">
            <w:pPr>
              <w:jc w:val="both"/>
              <w:rPr>
                <w:rFonts w:ascii="Century Gothic" w:hAnsi="Century Gothic"/>
                <w:bCs/>
                <w:szCs w:val="18"/>
                <w:lang w:val="en-GB"/>
              </w:rPr>
            </w:pPr>
            <w:r>
              <w:rPr>
                <w:rFonts w:ascii="Century Gothic" w:hAnsi="Century Gothic"/>
                <w:bCs/>
                <w:szCs w:val="18"/>
                <w:lang w:val="en-GB"/>
              </w:rPr>
              <w:lastRenderedPageBreak/>
              <w:t>All information in relation to the source of wealth must be triangulated</w:t>
            </w:r>
            <w:r w:rsidR="006B0650">
              <w:rPr>
                <w:rFonts w:ascii="Century Gothic" w:hAnsi="Century Gothic"/>
                <w:bCs/>
                <w:szCs w:val="18"/>
                <w:lang w:val="en-GB"/>
              </w:rPr>
              <w:t xml:space="preserve"> </w:t>
            </w:r>
            <w:r>
              <w:rPr>
                <w:rFonts w:ascii="Century Gothic" w:hAnsi="Century Gothic"/>
                <w:bCs/>
                <w:szCs w:val="18"/>
                <w:lang w:val="en-GB"/>
              </w:rPr>
              <w:t>to consider a piece of information as verified, Identity Malta seeks verification from three independent sources: the applicant and two independent service providers.</w:t>
            </w:r>
            <w:r w:rsidR="00F72830">
              <w:rPr>
                <w:rStyle w:val="FootnoteReference"/>
                <w:rFonts w:ascii="Century Gothic" w:hAnsi="Century Gothic"/>
                <w:bCs/>
                <w:szCs w:val="18"/>
                <w:lang w:val="en-GB"/>
              </w:rPr>
              <w:footnoteReference w:id="116"/>
            </w:r>
          </w:p>
          <w:p w14:paraId="44DBF5A6" w14:textId="77777777" w:rsidR="00797638" w:rsidRDefault="00797638" w:rsidP="00797638">
            <w:pPr>
              <w:jc w:val="both"/>
              <w:rPr>
                <w:rFonts w:ascii="Century Gothic" w:hAnsi="Century Gothic"/>
                <w:bCs/>
                <w:szCs w:val="18"/>
                <w:lang w:val="en-GB"/>
              </w:rPr>
            </w:pPr>
          </w:p>
          <w:p w14:paraId="57B013BD" w14:textId="4B5841D5" w:rsidR="00797638" w:rsidRPr="00834CD1" w:rsidRDefault="00E07DA8" w:rsidP="00834CD1">
            <w:pPr>
              <w:jc w:val="both"/>
              <w:rPr>
                <w:rFonts w:ascii="Century Gothic" w:hAnsi="Century Gothic"/>
                <w:bCs/>
                <w:szCs w:val="18"/>
                <w:lang w:val="en-US"/>
              </w:rPr>
            </w:pPr>
            <w:r>
              <w:rPr>
                <w:rFonts w:ascii="Century Gothic" w:hAnsi="Century Gothic"/>
                <w:bCs/>
                <w:szCs w:val="18"/>
                <w:lang w:val="en-GB"/>
              </w:rPr>
              <w:t>The</w:t>
            </w:r>
            <w:r w:rsidR="00797638">
              <w:rPr>
                <w:rFonts w:ascii="Century Gothic" w:hAnsi="Century Gothic"/>
                <w:bCs/>
                <w:szCs w:val="18"/>
                <w:lang w:val="en-GB"/>
              </w:rPr>
              <w:t xml:space="preserve"> provisions of the Anti-Money Laundering Directive are applied in verifying the source of funds </w:t>
            </w:r>
            <w:r w:rsidR="006B0650">
              <w:rPr>
                <w:rFonts w:ascii="Century Gothic" w:hAnsi="Century Gothic"/>
                <w:bCs/>
                <w:szCs w:val="18"/>
                <w:lang w:val="en-GB"/>
              </w:rPr>
              <w:t>for</w:t>
            </w:r>
            <w:r>
              <w:rPr>
                <w:rFonts w:ascii="Century Gothic" w:hAnsi="Century Gothic"/>
                <w:bCs/>
                <w:szCs w:val="18"/>
                <w:lang w:val="en-GB"/>
              </w:rPr>
              <w:t xml:space="preserve"> </w:t>
            </w:r>
            <w:r w:rsidR="00797638">
              <w:rPr>
                <w:rFonts w:ascii="Century Gothic" w:hAnsi="Century Gothic"/>
                <w:bCs/>
                <w:szCs w:val="18"/>
                <w:lang w:val="en-GB"/>
              </w:rPr>
              <w:t xml:space="preserve">the </w:t>
            </w:r>
            <w:r w:rsidR="006B0650">
              <w:rPr>
                <w:rFonts w:ascii="Century Gothic" w:hAnsi="Century Gothic"/>
                <w:bCs/>
                <w:szCs w:val="18"/>
                <w:lang w:val="en-GB"/>
              </w:rPr>
              <w:t>contribution</w:t>
            </w:r>
            <w:r w:rsidR="00275D11">
              <w:rPr>
                <w:rFonts w:ascii="Century Gothic" w:hAnsi="Century Gothic"/>
                <w:bCs/>
                <w:szCs w:val="18"/>
                <w:lang w:val="en-GB"/>
              </w:rPr>
              <w:t>,</w:t>
            </w:r>
            <w:r w:rsidR="00797638">
              <w:rPr>
                <w:rFonts w:ascii="Century Gothic" w:hAnsi="Century Gothic"/>
                <w:bCs/>
                <w:szCs w:val="18"/>
                <w:lang w:val="en-GB"/>
              </w:rPr>
              <w:t xml:space="preserve"> which is paid into Identity Malta’s account. The remitting account that is used for the payment of the contribution must be the same account</w:t>
            </w:r>
            <w:r w:rsidR="00275D11">
              <w:rPr>
                <w:rFonts w:ascii="Century Gothic" w:hAnsi="Century Gothic"/>
                <w:bCs/>
                <w:szCs w:val="18"/>
                <w:lang w:val="en-GB"/>
              </w:rPr>
              <w:t>,</w:t>
            </w:r>
            <w:r w:rsidR="00797638">
              <w:rPr>
                <w:rFonts w:ascii="Century Gothic" w:hAnsi="Century Gothic"/>
                <w:bCs/>
                <w:szCs w:val="18"/>
                <w:lang w:val="en-GB"/>
              </w:rPr>
              <w:t xml:space="preserve"> which would have been declared in Form SSFW. Three months’ worth of statements must be </w:t>
            </w:r>
            <w:r>
              <w:rPr>
                <w:rFonts w:ascii="Century Gothic" w:hAnsi="Century Gothic"/>
                <w:bCs/>
                <w:szCs w:val="18"/>
                <w:lang w:val="en-GB"/>
              </w:rPr>
              <w:t>provided</w:t>
            </w:r>
            <w:r w:rsidR="00797638">
              <w:rPr>
                <w:rFonts w:ascii="Century Gothic" w:hAnsi="Century Gothic"/>
                <w:bCs/>
                <w:szCs w:val="18"/>
                <w:lang w:val="en-GB"/>
              </w:rPr>
              <w:t xml:space="preserve"> for this account. In the event that the account is a new one, three months’ worth of statements must be provided for the </w:t>
            </w:r>
            <w:r w:rsidR="00797638" w:rsidRPr="00834CD1">
              <w:rPr>
                <w:rFonts w:ascii="Century Gothic" w:hAnsi="Century Gothic"/>
                <w:bCs/>
                <w:szCs w:val="18"/>
                <w:lang w:val="en-GB"/>
              </w:rPr>
              <w:t xml:space="preserve">feeder account. Furthermore, the remitting account must </w:t>
            </w:r>
            <w:r w:rsidR="00797638" w:rsidRPr="00834CD1">
              <w:rPr>
                <w:rFonts w:ascii="Century Gothic" w:hAnsi="Century Gothic"/>
                <w:bCs/>
                <w:szCs w:val="18"/>
                <w:lang w:val="en-US"/>
              </w:rPr>
              <w:t xml:space="preserve">be </w:t>
            </w:r>
            <w:r w:rsidR="00CA4CD2" w:rsidRPr="00E07DA8">
              <w:rPr>
                <w:rFonts w:ascii="Century Gothic" w:hAnsi="Century Gothic"/>
                <w:bCs/>
                <w:szCs w:val="18"/>
                <w:lang w:val="en-US"/>
              </w:rPr>
              <w:t>either</w:t>
            </w:r>
            <w:r w:rsidR="00797638" w:rsidRPr="00834CD1">
              <w:rPr>
                <w:rFonts w:ascii="Century Gothic" w:hAnsi="Century Gothic"/>
                <w:bCs/>
                <w:szCs w:val="18"/>
                <w:lang w:val="en-US"/>
              </w:rPr>
              <w:t xml:space="preserve"> a personal account where the account holder is the main applicant (joint accounts are accepted on a case-b</w:t>
            </w:r>
            <w:r w:rsidRPr="00834CD1">
              <w:rPr>
                <w:rFonts w:ascii="Century Gothic" w:hAnsi="Century Gothic"/>
                <w:bCs/>
                <w:szCs w:val="18"/>
                <w:lang w:val="en-US"/>
              </w:rPr>
              <w:t>y</w:t>
            </w:r>
            <w:r w:rsidR="00797638" w:rsidRPr="00834CD1">
              <w:rPr>
                <w:rFonts w:ascii="Century Gothic" w:hAnsi="Century Gothic"/>
                <w:bCs/>
                <w:szCs w:val="18"/>
                <w:lang w:val="en-US"/>
              </w:rPr>
              <w:t>-case basis)</w:t>
            </w:r>
            <w:r w:rsidR="008A6219" w:rsidRPr="00834CD1">
              <w:rPr>
                <w:rFonts w:ascii="Century Gothic" w:hAnsi="Century Gothic"/>
                <w:bCs/>
                <w:szCs w:val="18"/>
                <w:lang w:val="en-GB"/>
              </w:rPr>
              <w:t xml:space="preserve"> or</w:t>
            </w:r>
            <w:r w:rsidR="00797638" w:rsidRPr="00834CD1">
              <w:rPr>
                <w:rFonts w:ascii="Century Gothic" w:hAnsi="Century Gothic"/>
                <w:bCs/>
                <w:szCs w:val="18"/>
                <w:lang w:val="en-US"/>
              </w:rPr>
              <w:t xml:space="preserve"> a business account for an entity where the main applicant owns 50 per</w:t>
            </w:r>
            <w:r w:rsidR="00834CD1">
              <w:rPr>
                <w:rFonts w:ascii="Century Gothic" w:hAnsi="Century Gothic"/>
                <w:bCs/>
                <w:szCs w:val="18"/>
                <w:lang w:val="en-US"/>
              </w:rPr>
              <w:t xml:space="preserve"> </w:t>
            </w:r>
            <w:r w:rsidR="00797638" w:rsidRPr="00834CD1">
              <w:rPr>
                <w:rFonts w:ascii="Century Gothic" w:hAnsi="Century Gothic"/>
                <w:bCs/>
                <w:szCs w:val="18"/>
                <w:lang w:val="en-US"/>
              </w:rPr>
              <w:t>cent plus 1 share of the shares.</w:t>
            </w:r>
            <w:r w:rsidR="00F72830">
              <w:rPr>
                <w:rStyle w:val="FootnoteReference"/>
                <w:rFonts w:ascii="Century Gothic" w:hAnsi="Century Gothic"/>
                <w:bCs/>
                <w:szCs w:val="18"/>
                <w:lang w:val="en-US"/>
              </w:rPr>
              <w:footnoteReference w:id="117"/>
            </w:r>
          </w:p>
          <w:p w14:paraId="18F20F61" w14:textId="77777777" w:rsidR="00797638" w:rsidRPr="00834CD1" w:rsidRDefault="00797638" w:rsidP="00797638">
            <w:pPr>
              <w:rPr>
                <w:rFonts w:ascii="Century Gothic" w:hAnsi="Century Gothic"/>
                <w:bCs/>
                <w:szCs w:val="18"/>
                <w:lang w:val="en-GB"/>
              </w:rPr>
            </w:pPr>
          </w:p>
          <w:p w14:paraId="117CB820" w14:textId="2B7FA9C7" w:rsidR="00CE7378" w:rsidRPr="00834CD1" w:rsidRDefault="00797638" w:rsidP="008A6219">
            <w:pPr>
              <w:jc w:val="both"/>
              <w:rPr>
                <w:rFonts w:ascii="Century Gothic" w:hAnsi="Century Gothic"/>
                <w:bCs/>
                <w:szCs w:val="18"/>
                <w:lang w:val="en-GB"/>
              </w:rPr>
            </w:pPr>
            <w:r w:rsidRPr="00772F88">
              <w:rPr>
                <w:rFonts w:ascii="Century Gothic" w:hAnsi="Century Gothic"/>
                <w:bCs/>
                <w:szCs w:val="18"/>
                <w:lang w:val="en-US"/>
              </w:rPr>
              <w:t>A personal confirmation needs to be provided confirming the remitting accoun</w:t>
            </w:r>
            <w:r w:rsidR="00CA4CD2">
              <w:rPr>
                <w:rFonts w:ascii="Century Gothic" w:hAnsi="Century Gothic"/>
                <w:bCs/>
                <w:szCs w:val="18"/>
                <w:lang w:val="en-US"/>
              </w:rPr>
              <w:t>t, the c</w:t>
            </w:r>
            <w:r w:rsidRPr="005D5127">
              <w:rPr>
                <w:rFonts w:ascii="Century Gothic" w:hAnsi="Century Gothic"/>
                <w:bCs/>
                <w:szCs w:val="18"/>
                <w:lang w:val="en-US"/>
              </w:rPr>
              <w:t xml:space="preserve">rediting account, the </w:t>
            </w:r>
            <w:r>
              <w:rPr>
                <w:rFonts w:ascii="Century Gothic" w:hAnsi="Century Gothic"/>
                <w:bCs/>
                <w:szCs w:val="18"/>
                <w:lang w:val="en-US"/>
              </w:rPr>
              <w:t>d</w:t>
            </w:r>
            <w:r w:rsidRPr="00772F88">
              <w:rPr>
                <w:rFonts w:ascii="Century Gothic" w:hAnsi="Century Gothic"/>
                <w:bCs/>
                <w:szCs w:val="18"/>
                <w:lang w:val="en-US"/>
              </w:rPr>
              <w:t>a</w:t>
            </w:r>
            <w:r w:rsidR="008A6219">
              <w:rPr>
                <w:rFonts w:ascii="Century Gothic" w:hAnsi="Century Gothic"/>
                <w:bCs/>
                <w:szCs w:val="18"/>
                <w:lang w:val="en-US"/>
              </w:rPr>
              <w:t xml:space="preserve">te and time of the transaction </w:t>
            </w:r>
            <w:r w:rsidRPr="00772F88">
              <w:rPr>
                <w:rFonts w:ascii="Century Gothic" w:hAnsi="Century Gothic"/>
                <w:bCs/>
                <w:szCs w:val="18"/>
                <w:lang w:val="en-US"/>
              </w:rPr>
              <w:t>and the amount.</w:t>
            </w:r>
            <w:r>
              <w:rPr>
                <w:rFonts w:ascii="Century Gothic" w:hAnsi="Century Gothic"/>
                <w:bCs/>
                <w:szCs w:val="18"/>
                <w:lang w:val="en-US"/>
              </w:rPr>
              <w:t xml:space="preserve"> Any oth</w:t>
            </w:r>
            <w:r w:rsidR="008A6219">
              <w:rPr>
                <w:rFonts w:ascii="Century Gothic" w:hAnsi="Century Gothic"/>
                <w:bCs/>
                <w:szCs w:val="18"/>
                <w:lang w:val="en-US"/>
              </w:rPr>
              <w:t>er payment related procedures su</w:t>
            </w:r>
            <w:r w:rsidR="00E07DA8">
              <w:rPr>
                <w:rFonts w:ascii="Century Gothic" w:hAnsi="Century Gothic"/>
                <w:bCs/>
                <w:szCs w:val="18"/>
                <w:lang w:val="en-US"/>
              </w:rPr>
              <w:t>ch as</w:t>
            </w:r>
            <w:r>
              <w:rPr>
                <w:rFonts w:ascii="Century Gothic" w:hAnsi="Century Gothic"/>
                <w:bCs/>
                <w:szCs w:val="18"/>
                <w:lang w:val="en-US"/>
              </w:rPr>
              <w:t xml:space="preserve"> returning a payment are executed in line with anti-money laundering procedures as per the implementing procedures</w:t>
            </w:r>
            <w:r w:rsidR="008A6219">
              <w:rPr>
                <w:rFonts w:ascii="Century Gothic" w:hAnsi="Century Gothic"/>
                <w:bCs/>
                <w:szCs w:val="18"/>
                <w:lang w:val="en-US"/>
              </w:rPr>
              <w:t xml:space="preserve"> of </w:t>
            </w:r>
            <w:r w:rsidR="00CA4CD2">
              <w:rPr>
                <w:rFonts w:ascii="Century Gothic" w:hAnsi="Century Gothic"/>
                <w:bCs/>
                <w:szCs w:val="18"/>
                <w:lang w:val="en-US"/>
              </w:rPr>
              <w:t>Malta’s Financial Intelligence Analysis Unit (FIAU).</w:t>
            </w:r>
            <w:r w:rsidR="007E0DC1">
              <w:rPr>
                <w:rStyle w:val="FootnoteReference"/>
                <w:rFonts w:ascii="Century Gothic" w:hAnsi="Century Gothic"/>
                <w:bCs/>
                <w:szCs w:val="18"/>
                <w:lang w:val="en-US"/>
              </w:rPr>
              <w:footnoteReference w:id="118"/>
            </w:r>
            <w:r w:rsidR="00CA4CD2">
              <w:rPr>
                <w:rFonts w:ascii="Century Gothic" w:hAnsi="Century Gothic"/>
                <w:bCs/>
                <w:szCs w:val="18"/>
                <w:lang w:val="en-US"/>
              </w:rPr>
              <w:t xml:space="preserve"> </w:t>
            </w:r>
            <w:r w:rsidR="00E07DA8">
              <w:rPr>
                <w:rFonts w:ascii="Century Gothic" w:hAnsi="Century Gothic"/>
                <w:bCs/>
                <w:szCs w:val="18"/>
                <w:lang w:val="en-US"/>
              </w:rPr>
              <w:t xml:space="preserve">Details of all applicants are submitted to the FIAU, The </w:t>
            </w:r>
            <w:r w:rsidR="00CA4CD2">
              <w:rPr>
                <w:rFonts w:ascii="Century Gothic" w:hAnsi="Century Gothic"/>
                <w:bCs/>
                <w:szCs w:val="18"/>
                <w:lang w:val="en-US"/>
              </w:rPr>
              <w:t xml:space="preserve">FIAU </w:t>
            </w:r>
            <w:r w:rsidR="00E07DA8">
              <w:rPr>
                <w:rFonts w:ascii="Century Gothic" w:hAnsi="Century Gothic"/>
                <w:bCs/>
                <w:szCs w:val="18"/>
                <w:lang w:val="en-US"/>
              </w:rPr>
              <w:t xml:space="preserve">therefore </w:t>
            </w:r>
            <w:r w:rsidR="00CA4CD2">
              <w:rPr>
                <w:rFonts w:ascii="Century Gothic" w:hAnsi="Century Gothic"/>
                <w:bCs/>
                <w:szCs w:val="18"/>
                <w:lang w:val="en-US"/>
              </w:rPr>
              <w:t xml:space="preserve">has full visibility </w:t>
            </w:r>
            <w:r w:rsidR="007E0DC1">
              <w:rPr>
                <w:rFonts w:ascii="Century Gothic" w:hAnsi="Century Gothic"/>
                <w:bCs/>
                <w:szCs w:val="18"/>
                <w:lang w:val="en-US"/>
              </w:rPr>
              <w:t>of IIP applicants.</w:t>
            </w:r>
            <w:r w:rsidR="00F72830">
              <w:rPr>
                <w:rStyle w:val="FootnoteReference"/>
                <w:rFonts w:ascii="Century Gothic" w:hAnsi="Century Gothic"/>
                <w:bCs/>
                <w:szCs w:val="18"/>
                <w:lang w:val="en-US"/>
              </w:rPr>
              <w:footnoteReference w:id="119"/>
            </w:r>
          </w:p>
        </w:tc>
        <w:tc>
          <w:tcPr>
            <w:tcW w:w="1373" w:type="pct"/>
            <w:shd w:val="clear" w:color="auto" w:fill="F2F2F2" w:themeFill="background1" w:themeFillShade="F2"/>
          </w:tcPr>
          <w:p w14:paraId="78B06CFA" w14:textId="77777777" w:rsidR="00CE2434" w:rsidRPr="00E00301" w:rsidRDefault="00CE2434" w:rsidP="00CE2434">
            <w:pPr>
              <w:jc w:val="both"/>
              <w:rPr>
                <w:rFonts w:ascii="Century Gothic" w:hAnsi="Century Gothic"/>
                <w:bCs/>
                <w:szCs w:val="18"/>
                <w:lang w:val="en-GB"/>
              </w:rPr>
            </w:pPr>
            <w:r w:rsidRPr="00E00301">
              <w:rPr>
                <w:rFonts w:ascii="Century Gothic" w:hAnsi="Century Gothic"/>
                <w:bCs/>
                <w:szCs w:val="18"/>
                <w:lang w:val="en-GB"/>
              </w:rPr>
              <w:lastRenderedPageBreak/>
              <w:t>Regulation 7(</w:t>
            </w:r>
            <w:r w:rsidR="00DD1F7E" w:rsidRPr="00E00301">
              <w:rPr>
                <w:rFonts w:ascii="Century Gothic" w:hAnsi="Century Gothic"/>
                <w:bCs/>
                <w:szCs w:val="18"/>
                <w:lang w:val="en-GB"/>
              </w:rPr>
              <w:t>4</w:t>
            </w:r>
            <w:r w:rsidRPr="00E00301">
              <w:rPr>
                <w:rFonts w:ascii="Century Gothic" w:hAnsi="Century Gothic"/>
                <w:bCs/>
                <w:szCs w:val="18"/>
                <w:lang w:val="en-GB"/>
              </w:rPr>
              <w:t xml:space="preserve">) of LN 47/2014, requires Identity Malta to </w:t>
            </w:r>
            <w:r w:rsidRPr="00E00301">
              <w:rPr>
                <w:rFonts w:ascii="Century Gothic" w:hAnsi="Century Gothic"/>
                <w:b/>
                <w:bCs/>
                <w:szCs w:val="18"/>
                <w:lang w:val="en-GB"/>
              </w:rPr>
              <w:t>verify a number of elements within 90 days of</w:t>
            </w:r>
            <w:r w:rsidR="00DD1F7E" w:rsidRPr="00E00301">
              <w:rPr>
                <w:rFonts w:ascii="Century Gothic" w:hAnsi="Century Gothic"/>
                <w:b/>
                <w:bCs/>
                <w:szCs w:val="18"/>
                <w:lang w:val="en-GB"/>
              </w:rPr>
              <w:t xml:space="preserve"> an application for citizenship</w:t>
            </w:r>
            <w:r w:rsidRPr="00E00301">
              <w:rPr>
                <w:rFonts w:ascii="Century Gothic" w:hAnsi="Century Gothic"/>
                <w:bCs/>
                <w:szCs w:val="18"/>
                <w:lang w:val="en-GB"/>
              </w:rPr>
              <w:t>:</w:t>
            </w:r>
          </w:p>
          <w:p w14:paraId="2351AC5B"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The application is certified as formally correct;</w:t>
            </w:r>
          </w:p>
          <w:p w14:paraId="0F4DEA84"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All relevant information provided by the applicant is verified by one or more independent due diligence agents;</w:t>
            </w:r>
          </w:p>
          <w:p w14:paraId="3B2A7A0F"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The background of the applicant and dependants is verified by one or more independent due diligence agents;</w:t>
            </w:r>
          </w:p>
          <w:p w14:paraId="67995C73"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All required due diligence fees, passport fees and bank charges fees as well as a non-refundable payment towards the contribution has been paid;</w:t>
            </w:r>
          </w:p>
          <w:p w14:paraId="017CA12A"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The source of all funds is verified;</w:t>
            </w:r>
          </w:p>
          <w:p w14:paraId="253F85A0" w14:textId="77777777" w:rsidR="00CE2434" w:rsidRPr="00E00301" w:rsidRDefault="00CE2434"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An appropriate risk weighting is carried out.</w:t>
            </w:r>
          </w:p>
          <w:p w14:paraId="18FF9BBC" w14:textId="1E655C05" w:rsidR="00DB3DF7" w:rsidRPr="009D33C1" w:rsidRDefault="00DB3DF7" w:rsidP="00CE2434">
            <w:pPr>
              <w:rPr>
                <w:rFonts w:ascii="Century Gothic" w:hAnsi="Century Gothic"/>
                <w:bCs/>
                <w:szCs w:val="18"/>
                <w:lang w:val="en-GB"/>
              </w:rPr>
            </w:pPr>
          </w:p>
          <w:p w14:paraId="4C99248D" w14:textId="77777777" w:rsidR="00DD1F7E" w:rsidRPr="00E00301" w:rsidRDefault="00CE2434" w:rsidP="00CE2434">
            <w:pPr>
              <w:jc w:val="both"/>
              <w:rPr>
                <w:rFonts w:ascii="Century Gothic" w:hAnsi="Century Gothic"/>
                <w:bCs/>
                <w:szCs w:val="18"/>
                <w:lang w:val="en-GB"/>
              </w:rPr>
            </w:pPr>
            <w:r w:rsidRPr="00E00301">
              <w:rPr>
                <w:rFonts w:ascii="Century Gothic" w:hAnsi="Century Gothic"/>
                <w:b/>
                <w:bCs/>
                <w:szCs w:val="18"/>
                <w:lang w:val="en-GB"/>
              </w:rPr>
              <w:t>Within 30 days from this verification</w:t>
            </w:r>
            <w:r w:rsidRPr="00E00301">
              <w:rPr>
                <w:rFonts w:ascii="Century Gothic" w:hAnsi="Century Gothic"/>
                <w:bCs/>
                <w:szCs w:val="18"/>
                <w:lang w:val="en-GB"/>
              </w:rPr>
              <w:t>, Identity Malta must further review the application and carry out further background checks if it deems necessary. It must then notify the concessionaire, and, where applicable, the Approved Agent in writing, in accordance with the Minister’s instruct</w:t>
            </w:r>
            <w:r w:rsidR="007D7A98" w:rsidRPr="00E00301">
              <w:rPr>
                <w:rFonts w:ascii="Century Gothic" w:hAnsi="Century Gothic"/>
                <w:bCs/>
                <w:szCs w:val="18"/>
                <w:lang w:val="en-GB"/>
              </w:rPr>
              <w:t>ions, that the application has b</w:t>
            </w:r>
            <w:r w:rsidRPr="00E00301">
              <w:rPr>
                <w:rFonts w:ascii="Century Gothic" w:hAnsi="Century Gothic"/>
                <w:bCs/>
                <w:szCs w:val="18"/>
                <w:lang w:val="en-GB"/>
              </w:rPr>
              <w:t>een approved in principle, refused or delayed for the cause that it is still b</w:t>
            </w:r>
            <w:r w:rsidR="00DD1F7E" w:rsidRPr="00E00301">
              <w:rPr>
                <w:rFonts w:ascii="Century Gothic" w:hAnsi="Century Gothic"/>
                <w:bCs/>
                <w:szCs w:val="18"/>
                <w:lang w:val="en-GB"/>
              </w:rPr>
              <w:t xml:space="preserve">eing </w:t>
            </w:r>
            <w:r w:rsidR="00DD1F7E" w:rsidRPr="00E00301">
              <w:rPr>
                <w:rFonts w:ascii="Century Gothic" w:hAnsi="Century Gothic"/>
                <w:bCs/>
                <w:szCs w:val="18"/>
                <w:lang w:val="en-GB"/>
              </w:rPr>
              <w:lastRenderedPageBreak/>
              <w:t>processed (Regulation 7(5) of LN 47/2014).</w:t>
            </w:r>
          </w:p>
          <w:p w14:paraId="2A1C1D30" w14:textId="77777777" w:rsidR="00616284" w:rsidRPr="00E00301" w:rsidRDefault="00616284" w:rsidP="00CE2434">
            <w:pPr>
              <w:jc w:val="both"/>
              <w:rPr>
                <w:rFonts w:ascii="Century Gothic" w:hAnsi="Century Gothic"/>
                <w:bCs/>
                <w:szCs w:val="18"/>
                <w:lang w:val="en-GB"/>
              </w:rPr>
            </w:pPr>
          </w:p>
          <w:p w14:paraId="13988212" w14:textId="77777777" w:rsidR="007D7A98" w:rsidRPr="00E00301" w:rsidRDefault="00616284" w:rsidP="00CE2434">
            <w:pPr>
              <w:jc w:val="both"/>
              <w:rPr>
                <w:rFonts w:ascii="Century Gothic" w:hAnsi="Century Gothic"/>
                <w:bCs/>
                <w:szCs w:val="18"/>
                <w:lang w:val="en-GB"/>
              </w:rPr>
            </w:pPr>
            <w:r w:rsidRPr="00E00301">
              <w:rPr>
                <w:rFonts w:ascii="Century Gothic" w:hAnsi="Century Gothic"/>
                <w:bCs/>
                <w:szCs w:val="18"/>
                <w:lang w:val="en-GB"/>
              </w:rPr>
              <w:t>A personal interview of the applicant is not mandatory. However, this can be recommended by the concessionaire and/or considered by Identity Malta on a case-by-case basis. The procedures for personal interviews are determined by Identity Malta (Regulation 7(7) of L</w:t>
            </w:r>
            <w:r w:rsidR="00947E78" w:rsidRPr="00E00301">
              <w:rPr>
                <w:rFonts w:ascii="Century Gothic" w:hAnsi="Century Gothic"/>
                <w:bCs/>
                <w:szCs w:val="18"/>
                <w:lang w:val="en-GB"/>
              </w:rPr>
              <w:t xml:space="preserve">N </w:t>
            </w:r>
            <w:r w:rsidRPr="00E00301">
              <w:rPr>
                <w:rFonts w:ascii="Century Gothic" w:hAnsi="Century Gothic"/>
                <w:bCs/>
                <w:szCs w:val="18"/>
                <w:lang w:val="en-GB"/>
              </w:rPr>
              <w:t>47/2014),</w:t>
            </w:r>
          </w:p>
          <w:p w14:paraId="5CC2B8E4" w14:textId="77777777" w:rsidR="00DD1F7E" w:rsidRPr="00E00301" w:rsidRDefault="00DD1F7E" w:rsidP="00CE2434">
            <w:pPr>
              <w:jc w:val="both"/>
              <w:rPr>
                <w:rFonts w:ascii="Century Gothic" w:hAnsi="Century Gothic"/>
                <w:bCs/>
                <w:szCs w:val="18"/>
                <w:lang w:val="en-GB"/>
              </w:rPr>
            </w:pPr>
          </w:p>
          <w:p w14:paraId="79E1C929" w14:textId="223753E5" w:rsidR="00687FD5" w:rsidRDefault="00723677" w:rsidP="00687FD5">
            <w:pPr>
              <w:jc w:val="both"/>
              <w:rPr>
                <w:rFonts w:ascii="Century Gothic" w:hAnsi="Century Gothic"/>
                <w:bCs/>
                <w:szCs w:val="18"/>
                <w:lang w:val="en-GB"/>
              </w:rPr>
            </w:pPr>
            <w:r w:rsidRPr="00E00301">
              <w:rPr>
                <w:rFonts w:ascii="Century Gothic" w:hAnsi="Century Gothic"/>
                <w:bCs/>
                <w:szCs w:val="18"/>
                <w:lang w:val="en-GB"/>
              </w:rPr>
              <w:t>The law does not stipulate furthe</w:t>
            </w:r>
            <w:r w:rsidR="00446534" w:rsidRPr="00E00301">
              <w:rPr>
                <w:rFonts w:ascii="Century Gothic" w:hAnsi="Century Gothic"/>
                <w:bCs/>
                <w:szCs w:val="18"/>
                <w:lang w:val="en-GB"/>
              </w:rPr>
              <w:t>r checks outside those specified</w:t>
            </w:r>
            <w:r w:rsidRPr="00E00301">
              <w:rPr>
                <w:rFonts w:ascii="Century Gothic" w:hAnsi="Century Gothic"/>
                <w:bCs/>
                <w:szCs w:val="18"/>
                <w:lang w:val="en-GB"/>
              </w:rPr>
              <w:t xml:space="preserve"> as part of the application process under Regulation 7 of LN 47/2014.</w:t>
            </w:r>
            <w:r w:rsidR="00687FD5">
              <w:rPr>
                <w:rFonts w:ascii="Century Gothic" w:hAnsi="Century Gothic"/>
                <w:bCs/>
                <w:szCs w:val="18"/>
                <w:lang w:val="en-GB"/>
              </w:rPr>
              <w:t xml:space="preserve"> For the purposes of implementing these checks, Identity Malta has developed an </w:t>
            </w:r>
            <w:r w:rsidR="00687FD5" w:rsidRPr="007D436F">
              <w:rPr>
                <w:rFonts w:ascii="Century Gothic" w:hAnsi="Century Gothic"/>
                <w:b/>
                <w:bCs/>
                <w:szCs w:val="18"/>
                <w:lang w:val="en-GB"/>
              </w:rPr>
              <w:t>internal risk matrix</w:t>
            </w:r>
            <w:r w:rsidR="00687FD5">
              <w:rPr>
                <w:rFonts w:ascii="Century Gothic" w:hAnsi="Century Gothic"/>
                <w:bCs/>
                <w:szCs w:val="18"/>
                <w:lang w:val="en-GB"/>
              </w:rPr>
              <w:t xml:space="preserve"> based on its experience since the start of the IIP. The matrix is based on seven elements: (</w:t>
            </w:r>
            <w:proofErr w:type="spellStart"/>
            <w:r w:rsidR="00687FD5">
              <w:rPr>
                <w:rFonts w:ascii="Century Gothic" w:hAnsi="Century Gothic"/>
                <w:bCs/>
                <w:szCs w:val="18"/>
                <w:lang w:val="en-GB"/>
              </w:rPr>
              <w:t>i</w:t>
            </w:r>
            <w:proofErr w:type="spellEnd"/>
            <w:r w:rsidR="00687FD5">
              <w:rPr>
                <w:rFonts w:ascii="Century Gothic" w:hAnsi="Century Gothic"/>
                <w:bCs/>
                <w:szCs w:val="18"/>
                <w:lang w:val="en-GB"/>
              </w:rPr>
              <w:t xml:space="preserve">) identification and verification (how the applicant’s identity has been established and verified); (ii) the applicant’s business and corporate affiliations; (iii) whether the applicant is a politically exposed person or has been on a sanctions or watch list; (iv) establishing how the applicant has accumulated his/her wealth and from where the funds for financing the application originate; (v) the applicant’s reputation (observed through open source intelligence, reports and on the ground intelligence); (vi) legal and regulatory matters such as charges </w:t>
            </w:r>
            <w:r w:rsidR="00810A07">
              <w:rPr>
                <w:rFonts w:ascii="Century Gothic" w:hAnsi="Century Gothic"/>
                <w:bCs/>
                <w:szCs w:val="18"/>
                <w:lang w:val="en-GB"/>
              </w:rPr>
              <w:t xml:space="preserve">or </w:t>
            </w:r>
            <w:r w:rsidR="00810A07">
              <w:rPr>
                <w:rFonts w:ascii="Century Gothic" w:hAnsi="Century Gothic"/>
                <w:bCs/>
                <w:szCs w:val="18"/>
                <w:lang w:val="en-GB"/>
              </w:rPr>
              <w:lastRenderedPageBreak/>
              <w:t>convictions for offences; (v</w:t>
            </w:r>
            <w:r w:rsidR="00687FD5">
              <w:rPr>
                <w:rFonts w:ascii="Century Gothic" w:hAnsi="Century Gothic"/>
                <w:bCs/>
                <w:szCs w:val="18"/>
                <w:lang w:val="en-GB"/>
              </w:rPr>
              <w:t>ii) analysis of the applicant’s activities and their impact on his/her immediate network  and society in general.</w:t>
            </w:r>
            <w:r w:rsidR="00687FD5">
              <w:rPr>
                <w:rStyle w:val="FootnoteReference"/>
                <w:rFonts w:ascii="Century Gothic" w:hAnsi="Century Gothic"/>
                <w:bCs/>
                <w:szCs w:val="18"/>
                <w:lang w:val="en-GB"/>
              </w:rPr>
              <w:footnoteReference w:id="120"/>
            </w:r>
          </w:p>
          <w:p w14:paraId="3369FE4F" w14:textId="6AA7D709" w:rsidR="00256772" w:rsidRDefault="00256772" w:rsidP="00CE2434">
            <w:pPr>
              <w:jc w:val="both"/>
              <w:rPr>
                <w:rFonts w:ascii="Century Gothic" w:hAnsi="Century Gothic"/>
                <w:b/>
                <w:bCs/>
                <w:szCs w:val="18"/>
                <w:lang w:val="en-US"/>
              </w:rPr>
            </w:pPr>
          </w:p>
          <w:p w14:paraId="1F702A41" w14:textId="0E73CCBF" w:rsidR="008A6219" w:rsidRDefault="008A6219" w:rsidP="008A6219">
            <w:pPr>
              <w:jc w:val="both"/>
              <w:rPr>
                <w:rFonts w:ascii="Century Gothic" w:hAnsi="Century Gothic"/>
                <w:bCs/>
                <w:szCs w:val="18"/>
                <w:lang w:val="en-GB"/>
              </w:rPr>
            </w:pPr>
            <w:r>
              <w:rPr>
                <w:rFonts w:ascii="Century Gothic" w:hAnsi="Century Gothic"/>
                <w:bCs/>
                <w:szCs w:val="18"/>
                <w:lang w:val="en-GB"/>
              </w:rPr>
              <w:t>Identity Malta confirmed that to the extent possible the due diligence definitions and procedures of the Anti-Money Laundering Directive are followed. By way of example, the Identity Malta representatives consulted mentioned the Directive’s requirement to have in place risk assessment measures including customer due diligence measures, record-keeping procedures and reporting procedures. It referred to the clearances obtained from local law enforcement agencies, the use of reports from international risk management databases commonly used in the financial industry and its internal record-keeping procedures.</w:t>
            </w:r>
            <w:r w:rsidR="00F72830">
              <w:rPr>
                <w:rStyle w:val="FootnoteReference"/>
                <w:rFonts w:ascii="Century Gothic" w:hAnsi="Century Gothic"/>
                <w:bCs/>
                <w:szCs w:val="18"/>
                <w:lang w:val="en-GB"/>
              </w:rPr>
              <w:footnoteReference w:id="121"/>
            </w:r>
          </w:p>
          <w:p w14:paraId="43F169AF" w14:textId="77777777" w:rsidR="008A6219" w:rsidRPr="00E00301" w:rsidRDefault="008A6219" w:rsidP="00CE2434">
            <w:pPr>
              <w:jc w:val="both"/>
              <w:rPr>
                <w:rFonts w:ascii="Century Gothic" w:hAnsi="Century Gothic"/>
                <w:bCs/>
                <w:szCs w:val="18"/>
                <w:lang w:val="en-GB"/>
              </w:rPr>
            </w:pPr>
          </w:p>
          <w:p w14:paraId="0D417F00" w14:textId="77777777" w:rsidR="00AC2EEB" w:rsidRPr="00E00301" w:rsidRDefault="009A3FFF" w:rsidP="00CE2434">
            <w:pPr>
              <w:jc w:val="both"/>
              <w:rPr>
                <w:rFonts w:ascii="Century Gothic" w:hAnsi="Century Gothic"/>
                <w:bCs/>
                <w:szCs w:val="18"/>
                <w:lang w:val="en-GB"/>
              </w:rPr>
            </w:pPr>
            <w:r w:rsidRPr="00E00301">
              <w:rPr>
                <w:rFonts w:ascii="Century Gothic" w:hAnsi="Century Gothic"/>
                <w:bCs/>
                <w:szCs w:val="18"/>
                <w:lang w:val="en-GB"/>
              </w:rPr>
              <w:t xml:space="preserve">Regulation 6 </w:t>
            </w:r>
            <w:r w:rsidR="00CE2434" w:rsidRPr="00E00301">
              <w:rPr>
                <w:rFonts w:ascii="Century Gothic" w:hAnsi="Century Gothic"/>
                <w:bCs/>
                <w:szCs w:val="18"/>
                <w:lang w:val="en-GB"/>
              </w:rPr>
              <w:t xml:space="preserve">of LN 47/2014 </w:t>
            </w:r>
            <w:r w:rsidRPr="00E00301">
              <w:rPr>
                <w:rFonts w:ascii="Century Gothic" w:hAnsi="Century Gothic"/>
                <w:bCs/>
                <w:szCs w:val="18"/>
                <w:lang w:val="en-GB"/>
              </w:rPr>
              <w:t xml:space="preserve">sets out a number of </w:t>
            </w:r>
            <w:r w:rsidR="00FC51AF" w:rsidRPr="00E00301">
              <w:rPr>
                <w:rFonts w:ascii="Century Gothic" w:hAnsi="Century Gothic"/>
                <w:b/>
                <w:bCs/>
                <w:szCs w:val="18"/>
                <w:lang w:val="en-GB"/>
              </w:rPr>
              <w:t>criteria for</w:t>
            </w:r>
            <w:r w:rsidRPr="00E00301">
              <w:rPr>
                <w:rFonts w:ascii="Century Gothic" w:hAnsi="Century Gothic"/>
                <w:b/>
                <w:bCs/>
                <w:szCs w:val="18"/>
                <w:lang w:val="en-GB"/>
              </w:rPr>
              <w:t xml:space="preserve"> turning down applications</w:t>
            </w:r>
            <w:r w:rsidR="00FC51AF" w:rsidRPr="00E00301">
              <w:rPr>
                <w:rFonts w:ascii="Century Gothic" w:hAnsi="Century Gothic"/>
                <w:bCs/>
                <w:szCs w:val="18"/>
                <w:lang w:val="en-GB"/>
              </w:rPr>
              <w:t>. Certain applicants are ineligible for approval for citizenship under the IIP, namely, applicants who:</w:t>
            </w:r>
          </w:p>
          <w:p w14:paraId="24B1DC79"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Provide</w:t>
            </w:r>
            <w:r w:rsidR="00FC51AF" w:rsidRPr="00E00301">
              <w:rPr>
                <w:rFonts w:ascii="Century Gothic" w:hAnsi="Century Gothic"/>
                <w:bCs/>
                <w:sz w:val="18"/>
                <w:szCs w:val="18"/>
              </w:rPr>
              <w:t xml:space="preserve"> false information</w:t>
            </w:r>
            <w:r w:rsidRPr="00E00301">
              <w:rPr>
                <w:rFonts w:ascii="Century Gothic" w:hAnsi="Century Gothic"/>
                <w:bCs/>
                <w:sz w:val="18"/>
                <w:szCs w:val="18"/>
              </w:rPr>
              <w:t>;</w:t>
            </w:r>
            <w:r w:rsidR="00FC51AF" w:rsidRPr="00E00301">
              <w:rPr>
                <w:rFonts w:ascii="Century Gothic" w:hAnsi="Century Gothic"/>
                <w:bCs/>
                <w:sz w:val="18"/>
                <w:szCs w:val="18"/>
              </w:rPr>
              <w:t xml:space="preserve"> </w:t>
            </w:r>
          </w:p>
          <w:p w14:paraId="5663CDA5"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lastRenderedPageBreak/>
              <w:t>Have</w:t>
            </w:r>
            <w:r w:rsidR="00FC51AF" w:rsidRPr="00E00301">
              <w:rPr>
                <w:rFonts w:ascii="Century Gothic" w:hAnsi="Century Gothic"/>
                <w:bCs/>
                <w:sz w:val="18"/>
                <w:szCs w:val="18"/>
              </w:rPr>
              <w:t xml:space="preserve"> a criminal record</w:t>
            </w:r>
            <w:r w:rsidRPr="00E00301">
              <w:rPr>
                <w:rFonts w:ascii="Century Gothic" w:hAnsi="Century Gothic"/>
                <w:bCs/>
                <w:sz w:val="18"/>
                <w:szCs w:val="18"/>
              </w:rPr>
              <w:t>;</w:t>
            </w:r>
          </w:p>
          <w:p w14:paraId="4DD51BEA"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xml:space="preserve"> the subject of a criminal investigation;</w:t>
            </w:r>
          </w:p>
          <w:p w14:paraId="039CCC35"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xml:space="preserve"> a potential national security threat to Malta;</w:t>
            </w:r>
          </w:p>
          <w:p w14:paraId="3152CBD2"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Are</w:t>
            </w:r>
            <w:r w:rsidR="00FC51AF" w:rsidRPr="00E00301">
              <w:rPr>
                <w:rFonts w:ascii="Century Gothic" w:hAnsi="Century Gothic"/>
                <w:bCs/>
                <w:sz w:val="18"/>
                <w:szCs w:val="18"/>
              </w:rPr>
              <w:t>, or are likely to be, i</w:t>
            </w:r>
            <w:r w:rsidR="00CE2434" w:rsidRPr="00E00301">
              <w:rPr>
                <w:rFonts w:ascii="Century Gothic" w:hAnsi="Century Gothic"/>
                <w:bCs/>
                <w:sz w:val="18"/>
                <w:szCs w:val="18"/>
              </w:rPr>
              <w:t>nvolved in any activity likely t</w:t>
            </w:r>
            <w:r w:rsidR="00FC51AF" w:rsidRPr="00E00301">
              <w:rPr>
                <w:rFonts w:ascii="Century Gothic" w:hAnsi="Century Gothic"/>
                <w:bCs/>
                <w:sz w:val="18"/>
                <w:szCs w:val="18"/>
              </w:rPr>
              <w:t>o cause disrepute to Malta; or</w:t>
            </w:r>
          </w:p>
          <w:p w14:paraId="50620477" w14:textId="77777777" w:rsidR="00FC51AF" w:rsidRPr="00E00301" w:rsidRDefault="00DD1F7E" w:rsidP="006E7346">
            <w:pPr>
              <w:pStyle w:val="ListParagraph"/>
              <w:numPr>
                <w:ilvl w:val="0"/>
                <w:numId w:val="28"/>
              </w:numPr>
              <w:rPr>
                <w:rFonts w:ascii="Century Gothic" w:hAnsi="Century Gothic"/>
                <w:bCs/>
                <w:sz w:val="18"/>
                <w:szCs w:val="18"/>
              </w:rPr>
            </w:pPr>
            <w:r w:rsidRPr="00E00301">
              <w:rPr>
                <w:rFonts w:ascii="Century Gothic" w:hAnsi="Century Gothic"/>
                <w:bCs/>
                <w:sz w:val="18"/>
                <w:szCs w:val="18"/>
              </w:rPr>
              <w:t>Have</w:t>
            </w:r>
            <w:r w:rsidR="00FC51AF" w:rsidRPr="00E00301">
              <w:rPr>
                <w:rFonts w:ascii="Century Gothic" w:hAnsi="Century Gothic"/>
                <w:bCs/>
                <w:sz w:val="18"/>
                <w:szCs w:val="18"/>
              </w:rPr>
              <w:t xml:space="preserve"> been denied a visa to a country with which Malta has visa-free travel arrangement</w:t>
            </w:r>
            <w:r w:rsidR="00947E78" w:rsidRPr="00E00301">
              <w:rPr>
                <w:rFonts w:ascii="Century Gothic" w:hAnsi="Century Gothic"/>
                <w:bCs/>
                <w:sz w:val="18"/>
                <w:szCs w:val="18"/>
              </w:rPr>
              <w:t>s</w:t>
            </w:r>
            <w:r w:rsidR="00FC51AF" w:rsidRPr="00E00301">
              <w:rPr>
                <w:rFonts w:ascii="Century Gothic" w:hAnsi="Century Gothic"/>
                <w:bCs/>
                <w:sz w:val="18"/>
                <w:szCs w:val="18"/>
              </w:rPr>
              <w:t xml:space="preserve"> and has not subsequently obtained a visa to the country that issued the denial.</w:t>
            </w:r>
          </w:p>
          <w:p w14:paraId="5B522684" w14:textId="77777777" w:rsidR="00CE2434" w:rsidRPr="00E00301" w:rsidRDefault="00CE2434" w:rsidP="00CE2434">
            <w:pPr>
              <w:pStyle w:val="ListParagraph"/>
              <w:rPr>
                <w:rFonts w:ascii="Century Gothic" w:hAnsi="Century Gothic"/>
                <w:bCs/>
                <w:sz w:val="18"/>
                <w:szCs w:val="18"/>
              </w:rPr>
            </w:pPr>
          </w:p>
          <w:p w14:paraId="799C7542" w14:textId="77777777" w:rsidR="00FC51AF" w:rsidRPr="00E00301" w:rsidRDefault="00FC51AF" w:rsidP="00FC51AF">
            <w:pPr>
              <w:jc w:val="both"/>
              <w:rPr>
                <w:rFonts w:ascii="Century Gothic" w:hAnsi="Century Gothic"/>
                <w:bCs/>
                <w:szCs w:val="18"/>
                <w:lang w:val="en-GB"/>
              </w:rPr>
            </w:pPr>
            <w:r w:rsidRPr="00E00301">
              <w:rPr>
                <w:rFonts w:ascii="Century Gothic" w:hAnsi="Century Gothic"/>
                <w:bCs/>
                <w:szCs w:val="18"/>
                <w:lang w:val="en-GB"/>
              </w:rPr>
              <w:t xml:space="preserve">Nevertheless, </w:t>
            </w:r>
            <w:r w:rsidR="007D7A98" w:rsidRPr="00E00301">
              <w:rPr>
                <w:rFonts w:ascii="Century Gothic" w:hAnsi="Century Gothic"/>
                <w:bCs/>
                <w:szCs w:val="18"/>
                <w:lang w:val="en-GB"/>
              </w:rPr>
              <w:t>Regulation 6 contains</w:t>
            </w:r>
            <w:r w:rsidRPr="00E00301">
              <w:rPr>
                <w:rFonts w:ascii="Century Gothic" w:hAnsi="Century Gothic"/>
                <w:bCs/>
                <w:szCs w:val="18"/>
                <w:lang w:val="en-GB"/>
              </w:rPr>
              <w:t xml:space="preserve"> an exception whereby ident</w:t>
            </w:r>
            <w:r w:rsidR="00CE2434" w:rsidRPr="00E00301">
              <w:rPr>
                <w:rFonts w:ascii="Century Gothic" w:hAnsi="Century Gothic"/>
                <w:bCs/>
                <w:szCs w:val="18"/>
                <w:lang w:val="en-GB"/>
              </w:rPr>
              <w:t>ity Malta can still consider the</w:t>
            </w:r>
            <w:r w:rsidRPr="00E00301">
              <w:rPr>
                <w:rFonts w:ascii="Century Gothic" w:hAnsi="Century Gothic"/>
                <w:bCs/>
                <w:szCs w:val="18"/>
                <w:lang w:val="en-GB"/>
              </w:rPr>
              <w:t xml:space="preserve"> application worthy of being considered for approval due to special </w:t>
            </w:r>
            <w:r w:rsidR="00CE2434" w:rsidRPr="00E00301">
              <w:rPr>
                <w:rFonts w:ascii="Century Gothic" w:hAnsi="Century Gothic"/>
                <w:bCs/>
                <w:szCs w:val="18"/>
                <w:lang w:val="en-GB"/>
              </w:rPr>
              <w:t>circumstances</w:t>
            </w:r>
            <w:r w:rsidRPr="00E00301">
              <w:rPr>
                <w:rFonts w:ascii="Century Gothic" w:hAnsi="Century Gothic"/>
                <w:bCs/>
                <w:szCs w:val="18"/>
                <w:lang w:val="en-GB"/>
              </w:rPr>
              <w:t xml:space="preserve"> to be demonstrated by the </w:t>
            </w:r>
            <w:r w:rsidR="00CE2434" w:rsidRPr="00E00301">
              <w:rPr>
                <w:rFonts w:ascii="Century Gothic" w:hAnsi="Century Gothic"/>
                <w:bCs/>
                <w:szCs w:val="18"/>
                <w:lang w:val="en-GB"/>
              </w:rPr>
              <w:t>applicant</w:t>
            </w:r>
            <w:r w:rsidRPr="00E00301">
              <w:rPr>
                <w:rFonts w:ascii="Century Gothic" w:hAnsi="Century Gothic"/>
                <w:bCs/>
                <w:szCs w:val="18"/>
                <w:lang w:val="en-GB"/>
              </w:rPr>
              <w:t>. In this case, Identity Malta must issue a reasoned opinion as to why the applicant should sti</w:t>
            </w:r>
            <w:r w:rsidR="00271110" w:rsidRPr="00E00301">
              <w:rPr>
                <w:rFonts w:ascii="Century Gothic" w:hAnsi="Century Gothic"/>
                <w:bCs/>
                <w:szCs w:val="18"/>
                <w:lang w:val="en-GB"/>
              </w:rPr>
              <w:t>ll be considered and mu</w:t>
            </w:r>
            <w:r w:rsidR="00566885" w:rsidRPr="00E00301">
              <w:rPr>
                <w:rFonts w:ascii="Century Gothic" w:hAnsi="Century Gothic"/>
                <w:bCs/>
                <w:szCs w:val="18"/>
                <w:lang w:val="en-GB"/>
              </w:rPr>
              <w:t>st refer</w:t>
            </w:r>
            <w:r w:rsidRPr="00E00301">
              <w:rPr>
                <w:rFonts w:ascii="Century Gothic" w:hAnsi="Century Gothic"/>
                <w:bCs/>
                <w:szCs w:val="18"/>
                <w:lang w:val="en-GB"/>
              </w:rPr>
              <w:t xml:space="preserve"> the application </w:t>
            </w:r>
            <w:r w:rsidR="00CE2434" w:rsidRPr="00E00301">
              <w:rPr>
                <w:rFonts w:ascii="Century Gothic" w:hAnsi="Century Gothic"/>
                <w:bCs/>
                <w:szCs w:val="18"/>
                <w:lang w:val="en-GB"/>
              </w:rPr>
              <w:t xml:space="preserve">to the </w:t>
            </w:r>
            <w:r w:rsidRPr="00E00301">
              <w:rPr>
                <w:rFonts w:ascii="Century Gothic" w:hAnsi="Century Gothic"/>
                <w:bCs/>
                <w:szCs w:val="18"/>
                <w:lang w:val="en-GB"/>
              </w:rPr>
              <w:t xml:space="preserve">Minister, who will have the sole </w:t>
            </w:r>
            <w:r w:rsidR="00AA7FFE" w:rsidRPr="00E00301">
              <w:rPr>
                <w:rFonts w:ascii="Century Gothic" w:hAnsi="Century Gothic"/>
                <w:bCs/>
                <w:szCs w:val="18"/>
                <w:lang w:val="en-GB"/>
              </w:rPr>
              <w:t>authority to grant such approval.</w:t>
            </w:r>
          </w:p>
          <w:p w14:paraId="024B66FB" w14:textId="77777777" w:rsidR="00AA7FFE" w:rsidRPr="00E00301" w:rsidRDefault="00AA7FFE" w:rsidP="00FC51AF">
            <w:pPr>
              <w:jc w:val="both"/>
              <w:rPr>
                <w:rFonts w:ascii="Century Gothic" w:hAnsi="Century Gothic"/>
                <w:bCs/>
                <w:szCs w:val="18"/>
                <w:lang w:val="en-GB"/>
              </w:rPr>
            </w:pPr>
          </w:p>
          <w:p w14:paraId="21BA645B" w14:textId="3F3275FB" w:rsidR="00B043E5" w:rsidRPr="00B85F19" w:rsidRDefault="008006C4" w:rsidP="00B85F19">
            <w:pPr>
              <w:jc w:val="both"/>
              <w:rPr>
                <w:rFonts w:ascii="Century Gothic" w:hAnsi="Century Gothic"/>
                <w:bCs/>
                <w:szCs w:val="18"/>
                <w:lang w:val="en-GB"/>
              </w:rPr>
            </w:pPr>
            <w:r>
              <w:rPr>
                <w:rFonts w:ascii="Century Gothic" w:hAnsi="Century Gothic"/>
                <w:bCs/>
                <w:szCs w:val="18"/>
                <w:lang w:val="en-GB"/>
              </w:rPr>
              <w:t>Identity Malta confirmed that where it considers that it does not have enough information on the applicant, the application will be rejected.</w:t>
            </w:r>
            <w:r w:rsidR="003A16B3">
              <w:rPr>
                <w:rStyle w:val="FootnoteReference"/>
                <w:rFonts w:ascii="Century Gothic" w:hAnsi="Century Gothic"/>
                <w:bCs/>
                <w:szCs w:val="18"/>
                <w:lang w:val="en-GB"/>
              </w:rPr>
              <w:footnoteReference w:id="122"/>
            </w:r>
          </w:p>
        </w:tc>
        <w:tc>
          <w:tcPr>
            <w:tcW w:w="559" w:type="pct"/>
            <w:shd w:val="clear" w:color="auto" w:fill="F2F2F2" w:themeFill="background1" w:themeFillShade="F2"/>
          </w:tcPr>
          <w:p w14:paraId="06A8C13E" w14:textId="77777777" w:rsidR="00FA0E00" w:rsidRPr="00E00301" w:rsidRDefault="00FA0E00" w:rsidP="00AA7FFE">
            <w:pPr>
              <w:jc w:val="both"/>
              <w:rPr>
                <w:rFonts w:ascii="Century Gothic" w:hAnsi="Century Gothic"/>
                <w:bCs/>
                <w:szCs w:val="18"/>
                <w:lang w:val="en-GB"/>
              </w:rPr>
            </w:pPr>
            <w:r w:rsidRPr="00E00301">
              <w:rPr>
                <w:rFonts w:ascii="Century Gothic" w:hAnsi="Century Gothic"/>
                <w:bCs/>
                <w:szCs w:val="18"/>
                <w:lang w:val="en-GB"/>
              </w:rPr>
              <w:lastRenderedPageBreak/>
              <w:t>See points 1.1, 1.2 and 1.3 above.</w:t>
            </w:r>
          </w:p>
          <w:p w14:paraId="130A2B43" w14:textId="77777777" w:rsidR="00FA0E00" w:rsidRPr="00E00301" w:rsidRDefault="00FA0E00" w:rsidP="00AA7FFE">
            <w:pPr>
              <w:jc w:val="both"/>
              <w:rPr>
                <w:rFonts w:ascii="Century Gothic" w:hAnsi="Century Gothic"/>
                <w:bCs/>
                <w:szCs w:val="18"/>
                <w:lang w:val="en-GB"/>
              </w:rPr>
            </w:pPr>
          </w:p>
          <w:p w14:paraId="082A649D" w14:textId="1D5B2F22" w:rsidR="005E2DD3" w:rsidRPr="00E00301" w:rsidRDefault="00B85F19" w:rsidP="00AA7FFE">
            <w:pPr>
              <w:jc w:val="both"/>
              <w:rPr>
                <w:rFonts w:ascii="Century Gothic" w:hAnsi="Century Gothic"/>
                <w:bCs/>
                <w:szCs w:val="18"/>
                <w:lang w:val="en-GB"/>
              </w:rPr>
            </w:pPr>
            <w:r>
              <w:rPr>
                <w:rFonts w:ascii="Century Gothic" w:hAnsi="Century Gothic"/>
                <w:bCs/>
                <w:szCs w:val="18"/>
                <w:lang w:val="en-GB"/>
              </w:rPr>
              <w:t xml:space="preserve">In accordance with Regulation 7(2) of LN 47/2014, </w:t>
            </w:r>
            <w:r w:rsidR="00AA7FFE" w:rsidRPr="00E00301">
              <w:rPr>
                <w:rFonts w:ascii="Century Gothic" w:hAnsi="Century Gothic"/>
                <w:bCs/>
                <w:szCs w:val="18"/>
                <w:lang w:val="en-GB"/>
              </w:rPr>
              <w:t xml:space="preserve">Identity Malta must </w:t>
            </w:r>
            <w:r>
              <w:rPr>
                <w:rFonts w:ascii="Century Gothic" w:hAnsi="Century Gothic"/>
                <w:bCs/>
                <w:szCs w:val="18"/>
                <w:lang w:val="en-GB"/>
              </w:rPr>
              <w:t>‘</w:t>
            </w:r>
            <w:r w:rsidR="00AA7FFE" w:rsidRPr="00E00301">
              <w:rPr>
                <w:rFonts w:ascii="Century Gothic" w:hAnsi="Century Gothic"/>
                <w:bCs/>
                <w:szCs w:val="18"/>
                <w:lang w:val="en-GB"/>
              </w:rPr>
              <w:t>either directly or through the concessionaire cause due diligence checks to be performed by one or more internationally recognized specialised due diligence agents which in any case are to be approved by Identity Malta, in respect of every applicant.</w:t>
            </w:r>
            <w:r>
              <w:rPr>
                <w:rFonts w:ascii="Century Gothic" w:hAnsi="Century Gothic"/>
                <w:bCs/>
                <w:szCs w:val="18"/>
                <w:lang w:val="en-GB"/>
              </w:rPr>
              <w:t>’</w:t>
            </w:r>
            <w:r w:rsidR="00AA7FFE" w:rsidRPr="00E00301">
              <w:rPr>
                <w:rFonts w:ascii="Century Gothic" w:hAnsi="Century Gothic"/>
                <w:bCs/>
                <w:szCs w:val="18"/>
                <w:lang w:val="en-GB"/>
              </w:rPr>
              <w:t xml:space="preserve"> </w:t>
            </w:r>
          </w:p>
          <w:p w14:paraId="5D628225" w14:textId="77777777" w:rsidR="005E2DD3" w:rsidRPr="00E00301" w:rsidRDefault="005E2DD3" w:rsidP="00AA7FFE">
            <w:pPr>
              <w:jc w:val="both"/>
              <w:rPr>
                <w:rFonts w:ascii="Century Gothic" w:hAnsi="Century Gothic"/>
                <w:bCs/>
                <w:szCs w:val="18"/>
                <w:lang w:val="en-GB"/>
              </w:rPr>
            </w:pPr>
          </w:p>
          <w:p w14:paraId="2727BE9A" w14:textId="77777777" w:rsidR="00AC2EEB" w:rsidRPr="00E00301" w:rsidRDefault="00AA7FFE" w:rsidP="00AA7FFE">
            <w:pPr>
              <w:jc w:val="both"/>
              <w:rPr>
                <w:rFonts w:ascii="Century Gothic" w:hAnsi="Century Gothic"/>
                <w:bCs/>
                <w:szCs w:val="18"/>
                <w:lang w:val="en-GB"/>
              </w:rPr>
            </w:pPr>
            <w:r w:rsidRPr="00E00301">
              <w:rPr>
                <w:rFonts w:ascii="Century Gothic" w:hAnsi="Century Gothic"/>
                <w:bCs/>
                <w:szCs w:val="18"/>
                <w:lang w:val="en-GB"/>
              </w:rPr>
              <w:lastRenderedPageBreak/>
              <w:t>Identity Malta is responsible for the proper carrying out of due diligence tests and must also carry out due diligence tests independently of the concessionaire (Regulation 7(2)</w:t>
            </w:r>
            <w:r w:rsidR="00DD1F7E" w:rsidRPr="00E00301">
              <w:rPr>
                <w:rFonts w:ascii="Century Gothic" w:hAnsi="Century Gothic"/>
                <w:bCs/>
                <w:szCs w:val="18"/>
                <w:lang w:val="en-GB"/>
              </w:rPr>
              <w:t xml:space="preserve"> of LN 47/2014</w:t>
            </w:r>
            <w:r w:rsidRPr="00E00301">
              <w:rPr>
                <w:rFonts w:ascii="Century Gothic" w:hAnsi="Century Gothic"/>
                <w:bCs/>
                <w:szCs w:val="18"/>
                <w:lang w:val="en-GB"/>
              </w:rPr>
              <w:t>).</w:t>
            </w:r>
          </w:p>
        </w:tc>
        <w:tc>
          <w:tcPr>
            <w:tcW w:w="478" w:type="pct"/>
            <w:shd w:val="clear" w:color="auto" w:fill="F2F2F2" w:themeFill="background1" w:themeFillShade="F2"/>
          </w:tcPr>
          <w:p w14:paraId="05EFD040" w14:textId="77777777" w:rsidR="00AC2EEB" w:rsidRPr="00E00301" w:rsidRDefault="00142B7B" w:rsidP="005E2DD3">
            <w:pPr>
              <w:jc w:val="both"/>
              <w:rPr>
                <w:rFonts w:ascii="Century Gothic" w:hAnsi="Century Gothic"/>
                <w:bCs/>
                <w:szCs w:val="18"/>
                <w:lang w:val="en-GB"/>
              </w:rPr>
            </w:pPr>
            <w:r w:rsidRPr="00E00301">
              <w:rPr>
                <w:rFonts w:ascii="Century Gothic" w:hAnsi="Century Gothic"/>
                <w:bCs/>
                <w:szCs w:val="18"/>
                <w:lang w:val="en-GB"/>
              </w:rPr>
              <w:lastRenderedPageBreak/>
              <w:t xml:space="preserve">In terms of </w:t>
            </w:r>
            <w:r w:rsidR="00FA0E00" w:rsidRPr="00E00301">
              <w:rPr>
                <w:rFonts w:ascii="Century Gothic" w:hAnsi="Century Gothic"/>
                <w:bCs/>
                <w:szCs w:val="18"/>
                <w:lang w:val="en-GB"/>
              </w:rPr>
              <w:t xml:space="preserve">IIP </w:t>
            </w:r>
            <w:r w:rsidRPr="00E00301">
              <w:rPr>
                <w:rFonts w:ascii="Century Gothic" w:hAnsi="Century Gothic"/>
                <w:bCs/>
                <w:szCs w:val="18"/>
                <w:lang w:val="en-GB"/>
              </w:rPr>
              <w:t xml:space="preserve">beneficiaries, </w:t>
            </w:r>
            <w:r w:rsidR="00271110" w:rsidRPr="00E00301">
              <w:rPr>
                <w:rFonts w:ascii="Century Gothic" w:hAnsi="Century Gothic"/>
                <w:bCs/>
                <w:szCs w:val="18"/>
                <w:lang w:val="en-GB"/>
              </w:rPr>
              <w:t xml:space="preserve">Regulation 10 </w:t>
            </w:r>
            <w:r w:rsidR="00723677" w:rsidRPr="00E00301">
              <w:rPr>
                <w:rFonts w:ascii="Century Gothic" w:hAnsi="Century Gothic"/>
                <w:bCs/>
                <w:szCs w:val="18"/>
                <w:lang w:val="en-GB"/>
              </w:rPr>
              <w:t xml:space="preserve">of LN 47/2014 </w:t>
            </w:r>
            <w:r w:rsidR="00271110" w:rsidRPr="00E00301">
              <w:rPr>
                <w:rFonts w:ascii="Century Gothic" w:hAnsi="Century Gothic"/>
                <w:bCs/>
                <w:szCs w:val="18"/>
                <w:lang w:val="en-GB"/>
              </w:rPr>
              <w:t xml:space="preserve">provides for the </w:t>
            </w:r>
            <w:r w:rsidR="00271110" w:rsidRPr="00E00301">
              <w:rPr>
                <w:rFonts w:ascii="Century Gothic" w:hAnsi="Century Gothic"/>
                <w:b/>
                <w:bCs/>
                <w:szCs w:val="18"/>
                <w:lang w:val="en-GB"/>
              </w:rPr>
              <w:t>deprivation of citizenship</w:t>
            </w:r>
            <w:r w:rsidR="00DD1F7E" w:rsidRPr="00E00301">
              <w:rPr>
                <w:rFonts w:ascii="Century Gothic" w:hAnsi="Century Gothic"/>
                <w:bCs/>
                <w:szCs w:val="18"/>
                <w:lang w:val="en-GB"/>
              </w:rPr>
              <w:t>.</w:t>
            </w:r>
            <w:r w:rsidR="00271110" w:rsidRPr="00E00301">
              <w:rPr>
                <w:rFonts w:ascii="Century Gothic" w:hAnsi="Century Gothic"/>
                <w:bCs/>
                <w:szCs w:val="18"/>
                <w:lang w:val="en-GB"/>
              </w:rPr>
              <w:t xml:space="preserve"> The </w:t>
            </w:r>
            <w:r w:rsidR="00DD1F7E" w:rsidRPr="00E00301">
              <w:rPr>
                <w:rFonts w:ascii="Century Gothic" w:hAnsi="Century Gothic"/>
                <w:bCs/>
                <w:szCs w:val="18"/>
                <w:lang w:val="en-GB"/>
              </w:rPr>
              <w:t>M</w:t>
            </w:r>
            <w:r w:rsidR="00271110" w:rsidRPr="00E00301">
              <w:rPr>
                <w:rFonts w:ascii="Century Gothic" w:hAnsi="Century Gothic"/>
                <w:bCs/>
                <w:szCs w:val="18"/>
                <w:lang w:val="en-GB"/>
              </w:rPr>
              <w:t xml:space="preserve">inister can deprive a person of Maltese citizenship granted under the IIP if the applicant fails to comply with any requirement to lease, purchase and retain property in Malta or to make and retain investments in Malta or </w:t>
            </w:r>
            <w:r w:rsidR="00271110" w:rsidRPr="00E00301">
              <w:rPr>
                <w:rFonts w:ascii="Century Gothic" w:hAnsi="Century Gothic"/>
                <w:bCs/>
                <w:szCs w:val="18"/>
                <w:lang w:val="en-GB"/>
              </w:rPr>
              <w:lastRenderedPageBreak/>
              <w:t xml:space="preserve">has become a threat to national security or is involved in conduct that is seriously prejudicial to </w:t>
            </w:r>
            <w:r w:rsidR="00616284" w:rsidRPr="00E00301">
              <w:rPr>
                <w:rFonts w:ascii="Century Gothic" w:hAnsi="Century Gothic"/>
                <w:bCs/>
                <w:szCs w:val="18"/>
                <w:lang w:val="en-GB"/>
              </w:rPr>
              <w:t>Malta’s</w:t>
            </w:r>
            <w:r w:rsidR="00271110" w:rsidRPr="00E00301">
              <w:rPr>
                <w:rFonts w:ascii="Century Gothic" w:hAnsi="Century Gothic"/>
                <w:bCs/>
                <w:szCs w:val="18"/>
                <w:lang w:val="en-GB"/>
              </w:rPr>
              <w:t xml:space="preserve"> vital interests. The procedure for deprivation of citizenship of citizens by registration or naturalisation set out in Article 14 of the Maltese Citizenship Act will apply.</w:t>
            </w:r>
          </w:p>
          <w:p w14:paraId="5C14C811" w14:textId="77777777" w:rsidR="00947E78" w:rsidRPr="00E00301" w:rsidRDefault="00947E78" w:rsidP="00616284">
            <w:pPr>
              <w:jc w:val="both"/>
              <w:rPr>
                <w:rFonts w:ascii="Century Gothic" w:hAnsi="Century Gothic"/>
                <w:bCs/>
                <w:szCs w:val="18"/>
                <w:lang w:val="en-GB"/>
              </w:rPr>
            </w:pPr>
          </w:p>
          <w:p w14:paraId="244C2372" w14:textId="071DEE6E" w:rsidR="00947E78" w:rsidRPr="00E00301" w:rsidRDefault="00947E78" w:rsidP="00823296">
            <w:pPr>
              <w:jc w:val="both"/>
              <w:rPr>
                <w:rFonts w:ascii="Century Gothic" w:hAnsi="Century Gothic"/>
                <w:bCs/>
                <w:szCs w:val="18"/>
                <w:lang w:val="en-GB"/>
              </w:rPr>
            </w:pPr>
            <w:r w:rsidRPr="00E00301">
              <w:rPr>
                <w:rFonts w:ascii="Century Gothic" w:hAnsi="Century Gothic"/>
                <w:bCs/>
                <w:szCs w:val="18"/>
                <w:lang w:val="en-GB"/>
              </w:rPr>
              <w:t xml:space="preserve">This implies that there is a system of </w:t>
            </w:r>
            <w:r w:rsidRPr="00E00301">
              <w:rPr>
                <w:rFonts w:ascii="Century Gothic" w:hAnsi="Century Gothic"/>
                <w:b/>
                <w:bCs/>
                <w:szCs w:val="18"/>
                <w:lang w:val="en-GB"/>
              </w:rPr>
              <w:t>ex-post checks</w:t>
            </w:r>
            <w:r w:rsidR="00823296">
              <w:rPr>
                <w:rFonts w:ascii="Century Gothic" w:hAnsi="Century Gothic"/>
                <w:bCs/>
                <w:szCs w:val="18"/>
                <w:lang w:val="en-GB"/>
              </w:rPr>
              <w:t xml:space="preserve"> but there is nothing in </w:t>
            </w:r>
            <w:r w:rsidR="00823296">
              <w:rPr>
                <w:rFonts w:ascii="Century Gothic" w:hAnsi="Century Gothic"/>
                <w:bCs/>
                <w:szCs w:val="18"/>
                <w:lang w:val="en-GB"/>
              </w:rPr>
              <w:lastRenderedPageBreak/>
              <w:t>the legislation on this</w:t>
            </w:r>
            <w:r w:rsidR="00D276B3">
              <w:rPr>
                <w:rFonts w:ascii="Century Gothic" w:hAnsi="Century Gothic"/>
                <w:bCs/>
                <w:szCs w:val="18"/>
                <w:lang w:val="en-GB"/>
              </w:rPr>
              <w:t>. Similarly, there is</w:t>
            </w:r>
            <w:r w:rsidR="00823296">
              <w:rPr>
                <w:rFonts w:ascii="Century Gothic" w:hAnsi="Century Gothic"/>
                <w:bCs/>
                <w:szCs w:val="18"/>
                <w:lang w:val="en-GB"/>
              </w:rPr>
              <w:t xml:space="preserve"> </w:t>
            </w:r>
            <w:r w:rsidR="00D276B3">
              <w:rPr>
                <w:rFonts w:ascii="Century Gothic" w:hAnsi="Century Gothic"/>
                <w:bCs/>
                <w:szCs w:val="18"/>
                <w:lang w:val="en-GB"/>
              </w:rPr>
              <w:t>no</w:t>
            </w:r>
            <w:r w:rsidR="00036ADF" w:rsidRPr="00E00301">
              <w:rPr>
                <w:rFonts w:ascii="Century Gothic" w:hAnsi="Century Gothic"/>
                <w:bCs/>
                <w:szCs w:val="18"/>
                <w:lang w:val="en-GB"/>
              </w:rPr>
              <w:t xml:space="preserve"> publicly available</w:t>
            </w:r>
            <w:r w:rsidR="00823296">
              <w:rPr>
                <w:rFonts w:ascii="Century Gothic" w:hAnsi="Century Gothic"/>
                <w:bCs/>
                <w:szCs w:val="18"/>
                <w:lang w:val="en-GB"/>
              </w:rPr>
              <w:t xml:space="preserve"> information</w:t>
            </w:r>
            <w:r w:rsidR="00036ADF" w:rsidRPr="00E00301">
              <w:rPr>
                <w:rFonts w:ascii="Century Gothic" w:hAnsi="Century Gothic"/>
                <w:bCs/>
                <w:szCs w:val="18"/>
                <w:lang w:val="en-GB"/>
              </w:rPr>
              <w:t>. There are no records of citizenship deprivation</w:t>
            </w:r>
            <w:r w:rsidR="00FA0E00" w:rsidRPr="00E00301">
              <w:rPr>
                <w:rFonts w:ascii="Century Gothic" w:hAnsi="Century Gothic"/>
                <w:bCs/>
                <w:szCs w:val="18"/>
                <w:lang w:val="en-GB"/>
              </w:rPr>
              <w:t xml:space="preserve"> and</w:t>
            </w:r>
            <w:r w:rsidR="00036ADF" w:rsidRPr="00E00301">
              <w:rPr>
                <w:rFonts w:ascii="Century Gothic" w:hAnsi="Century Gothic"/>
                <w:bCs/>
                <w:szCs w:val="18"/>
                <w:lang w:val="en-GB"/>
              </w:rPr>
              <w:t xml:space="preserve"> ex-post checks for IIP applicants.</w:t>
            </w:r>
          </w:p>
        </w:tc>
      </w:tr>
    </w:tbl>
    <w:p w14:paraId="7BE652CF" w14:textId="5410EACA" w:rsidR="007D5CCD" w:rsidRPr="003038F3" w:rsidRDefault="007D5CCD" w:rsidP="003038F3">
      <w:pPr>
        <w:pStyle w:val="MBT"/>
        <w:sectPr w:rsidR="007D5CCD" w:rsidRPr="003038F3">
          <w:pgSz w:w="16838" w:h="11906" w:orient="landscape"/>
          <w:pgMar w:top="1440" w:right="1440" w:bottom="1440" w:left="1440" w:header="708" w:footer="708" w:gutter="0"/>
          <w:cols w:space="708"/>
          <w:docGrid w:linePitch="360"/>
        </w:sectPr>
      </w:pPr>
      <w:bookmarkStart w:id="14" w:name="_Hlk493688164"/>
    </w:p>
    <w:p w14:paraId="4E03BFBE" w14:textId="77777777" w:rsidR="00973B7E" w:rsidRPr="0044090D" w:rsidRDefault="00973B7E" w:rsidP="00973B7E">
      <w:pPr>
        <w:pStyle w:val="MH1"/>
        <w:spacing w:after="0"/>
      </w:pPr>
      <w:bookmarkStart w:id="15" w:name="_Toc517766165"/>
      <w:r w:rsidRPr="0044090D">
        <w:lastRenderedPageBreak/>
        <w:t>Economic and financial efficiency of awarding citizenship to foreign investors</w:t>
      </w:r>
      <w:bookmarkEnd w:id="15"/>
    </w:p>
    <w:p w14:paraId="00DFAF46" w14:textId="77777777" w:rsidR="003038F3" w:rsidRPr="003038F3" w:rsidRDefault="003038F3" w:rsidP="00973B7E">
      <w:pPr>
        <w:pStyle w:val="MBT"/>
      </w:pPr>
    </w:p>
    <w:bookmarkEnd w:id="14"/>
    <w:p w14:paraId="31D8016C" w14:textId="73F8CAD4" w:rsidR="00B11389" w:rsidRDefault="0057145E" w:rsidP="00973B7E">
      <w:pPr>
        <w:pStyle w:val="MBT"/>
        <w:rPr>
          <w:lang w:val="en-GB"/>
        </w:rPr>
      </w:pPr>
      <w:r w:rsidRPr="0044090D">
        <w:rPr>
          <w:lang w:val="en-GB"/>
        </w:rPr>
        <w:t>Regulation 13 of LN 47/2014 establishes the National Development and Social Fund. This is a Fund set up by the Government of Malta to receive contributions</w:t>
      </w:r>
      <w:r w:rsidR="003C31B7">
        <w:rPr>
          <w:lang w:val="en-GB"/>
        </w:rPr>
        <w:t>.</w:t>
      </w:r>
      <w:r w:rsidRPr="0044090D">
        <w:rPr>
          <w:rStyle w:val="FootnoteReference"/>
          <w:lang w:val="en-GB"/>
        </w:rPr>
        <w:footnoteReference w:id="123"/>
      </w:r>
      <w:r w:rsidRPr="0044090D">
        <w:rPr>
          <w:lang w:val="en-GB"/>
        </w:rPr>
        <w:t xml:space="preserve"> Seventy per cent of the contributions received by Identity Malta under the IIP must be paid into this Fund and used in the public interest e.g. for the advancement of education, research, innovation, social purposes, justice and the rule of law, employment initiatives, the environment and public health</w:t>
      </w:r>
      <w:r w:rsidR="003C31B7">
        <w:rPr>
          <w:lang w:val="en-GB"/>
        </w:rPr>
        <w:t>.</w:t>
      </w:r>
      <w:r w:rsidRPr="0044090D">
        <w:rPr>
          <w:rStyle w:val="FootnoteReference"/>
          <w:lang w:val="en-GB"/>
        </w:rPr>
        <w:footnoteReference w:id="124"/>
      </w:r>
      <w:r w:rsidRPr="0044090D">
        <w:rPr>
          <w:lang w:val="en-GB"/>
        </w:rPr>
        <w:t xml:space="preserve"> </w:t>
      </w:r>
      <w:r w:rsidR="00B11389">
        <w:rPr>
          <w:lang w:val="en-GB"/>
        </w:rPr>
        <w:t xml:space="preserve">So far, the Fund has been used for what Identity Malta describes as strategic investments, namely, the purchase of shares in Malta’s Bank of Valletta and expenditure for technical </w:t>
      </w:r>
      <w:r w:rsidR="00834CD1">
        <w:rPr>
          <w:lang w:val="en-GB"/>
        </w:rPr>
        <w:t>equipment</w:t>
      </w:r>
      <w:r w:rsidR="00B11389">
        <w:rPr>
          <w:lang w:val="en-GB"/>
        </w:rPr>
        <w:t xml:space="preserve"> for Malta’s national hospital.</w:t>
      </w:r>
      <w:r w:rsidR="00834CD1">
        <w:rPr>
          <w:rStyle w:val="FootnoteReference"/>
          <w:lang w:val="en-GB"/>
        </w:rPr>
        <w:footnoteReference w:id="125"/>
      </w:r>
      <w:r w:rsidR="00B11389">
        <w:rPr>
          <w:lang w:val="en-GB"/>
        </w:rPr>
        <w:t xml:space="preserve"> </w:t>
      </w:r>
    </w:p>
    <w:p w14:paraId="1D08A6EF" w14:textId="77777777" w:rsidR="00B11389" w:rsidRDefault="00B11389" w:rsidP="00973B7E">
      <w:pPr>
        <w:pStyle w:val="MBT"/>
        <w:rPr>
          <w:lang w:val="en-GB"/>
        </w:rPr>
      </w:pPr>
    </w:p>
    <w:p w14:paraId="2053BC57" w14:textId="46BB5DC2" w:rsidR="0057145E" w:rsidRDefault="0057145E" w:rsidP="00973B7E">
      <w:pPr>
        <w:pStyle w:val="MBT"/>
        <w:rPr>
          <w:lang w:val="en-GB"/>
        </w:rPr>
      </w:pPr>
      <w:r w:rsidRPr="0044090D">
        <w:rPr>
          <w:lang w:val="en-GB"/>
        </w:rPr>
        <w:t>The Fund has a separate legal personality and is administered by a five-member Board of Governors, including a Chairman and Deputy Chairman appointed by the Prime Minister</w:t>
      </w:r>
      <w:r w:rsidR="003C31B7">
        <w:rPr>
          <w:lang w:val="en-GB"/>
        </w:rPr>
        <w:t>.</w:t>
      </w:r>
      <w:r w:rsidRPr="0044090D">
        <w:rPr>
          <w:rStyle w:val="FootnoteReference"/>
          <w:lang w:val="en-GB"/>
        </w:rPr>
        <w:footnoteReference w:id="126"/>
      </w:r>
      <w:r w:rsidRPr="0044090D">
        <w:rPr>
          <w:lang w:val="en-GB"/>
        </w:rPr>
        <w:t xml:space="preserve"> The Board of Governors must ‘ensure the highest level of governance of the Fund and that the funds held in the Fund are used solely for the said intended purposes’</w:t>
      </w:r>
      <w:r w:rsidR="003C31B7">
        <w:rPr>
          <w:lang w:val="en-GB"/>
        </w:rPr>
        <w:t>.</w:t>
      </w:r>
      <w:r w:rsidRPr="0044090D">
        <w:rPr>
          <w:rStyle w:val="FootnoteReference"/>
          <w:lang w:val="en-GB"/>
        </w:rPr>
        <w:footnoteReference w:id="127"/>
      </w:r>
      <w:r w:rsidRPr="0044090D">
        <w:rPr>
          <w:lang w:val="en-GB"/>
        </w:rPr>
        <w:t xml:space="preserve"> The Fund must publish its audited accounts on an annual basis and report to the Minister responsible for finance on its activities as required but at least once a year. The Minister responsible for finance must present the Fund’s audited accounts and annual report to the House of Representatives</w:t>
      </w:r>
      <w:r w:rsidR="003C31B7">
        <w:rPr>
          <w:lang w:val="en-GB"/>
        </w:rPr>
        <w:t>.</w:t>
      </w:r>
      <w:r w:rsidRPr="0044090D">
        <w:rPr>
          <w:rStyle w:val="FootnoteReference"/>
          <w:lang w:val="en-GB"/>
        </w:rPr>
        <w:footnoteReference w:id="128"/>
      </w:r>
      <w:r w:rsidRPr="0044090D">
        <w:rPr>
          <w:lang w:val="en-GB"/>
        </w:rPr>
        <w:t xml:space="preserve"> The Fund is subject to being audited by the Auditor General</w:t>
      </w:r>
      <w:r w:rsidR="003C31B7">
        <w:rPr>
          <w:lang w:val="en-GB"/>
        </w:rPr>
        <w:t>.</w:t>
      </w:r>
      <w:r w:rsidRPr="0044090D">
        <w:rPr>
          <w:rStyle w:val="FootnoteReference"/>
          <w:lang w:val="en-GB"/>
        </w:rPr>
        <w:footnoteReference w:id="129"/>
      </w:r>
    </w:p>
    <w:p w14:paraId="476D1A04" w14:textId="77777777" w:rsidR="0057145E" w:rsidRDefault="0057145E" w:rsidP="0057145E">
      <w:pPr>
        <w:pStyle w:val="MBT"/>
        <w:rPr>
          <w:lang w:val="en-GB"/>
        </w:rPr>
      </w:pPr>
    </w:p>
    <w:p w14:paraId="3F8BEA93" w14:textId="77777777" w:rsidR="0057145E" w:rsidRDefault="0057145E" w:rsidP="0057145E">
      <w:pPr>
        <w:pStyle w:val="MBT"/>
        <w:rPr>
          <w:lang w:val="en-GB"/>
        </w:rPr>
      </w:pPr>
      <w:r>
        <w:rPr>
          <w:lang w:val="en-GB"/>
        </w:rPr>
        <w:t>The remaining part of the contribution goes to the Consolidated Fund established by Article 102 of the Constitution of Malta. All revenues and other moneys raised or received by Malta except for revenues or moneys payable into another fund established by law for a specific purpose are paid into the Consolidated Fund. Withdrawals from the Consolidated Fund are typically limited to those necessary to meet expenditure as set out in the Constitution or another law or authorised by an Appropriation Act.</w:t>
      </w:r>
    </w:p>
    <w:p w14:paraId="75B2E6C3" w14:textId="77777777" w:rsidR="0057145E" w:rsidRDefault="0057145E" w:rsidP="0057145E">
      <w:pPr>
        <w:pStyle w:val="MBT"/>
        <w:rPr>
          <w:lang w:val="en-GB"/>
        </w:rPr>
      </w:pPr>
    </w:p>
    <w:p w14:paraId="6B4BAD1D" w14:textId="77777777" w:rsidR="0057145E" w:rsidRDefault="0057145E" w:rsidP="0057145E">
      <w:pPr>
        <w:pStyle w:val="MBT"/>
        <w:rPr>
          <w:lang w:val="en-GB"/>
        </w:rPr>
      </w:pPr>
      <w:r>
        <w:rPr>
          <w:lang w:val="en-GB"/>
        </w:rPr>
        <w:t xml:space="preserve">Since 2015, the </w:t>
      </w:r>
      <w:proofErr w:type="spellStart"/>
      <w:r>
        <w:rPr>
          <w:lang w:val="en-GB"/>
        </w:rPr>
        <w:t>ORiip</w:t>
      </w:r>
      <w:proofErr w:type="spellEnd"/>
      <w:r>
        <w:rPr>
          <w:lang w:val="en-GB"/>
        </w:rPr>
        <w:t xml:space="preserve"> has regularly covered the economic impact of IIP in its annual reports. The comparison of data from the three annual reports where figures are available (they were not published in the first annual report as no Letters of Approval were issued and hence no investments had been made) indicate that the IIP’s cont</w:t>
      </w:r>
      <w:r w:rsidR="00593E1D">
        <w:rPr>
          <w:lang w:val="en-GB"/>
        </w:rPr>
        <w:t>ribution to the GDP of Malta</w:t>
      </w:r>
      <w:r>
        <w:rPr>
          <w:lang w:val="en-GB"/>
        </w:rPr>
        <w:t xml:space="preserve"> increased from 0.75% of GDP in June 2015 to 3.72% of GDP in June 2017. In 2016, </w:t>
      </w:r>
      <w:r w:rsidRPr="001D6EB4">
        <w:rPr>
          <w:lang w:val="en-GB"/>
        </w:rPr>
        <w:t xml:space="preserve">the media pointed to National Statistics Office data indicating that the IIP was the biggest contributor to the government’s surplus. The Prime Minister denied that the </w:t>
      </w:r>
      <w:r w:rsidR="00593E1D">
        <w:rPr>
          <w:lang w:val="en-GB"/>
        </w:rPr>
        <w:t>Malta’s</w:t>
      </w:r>
      <w:r w:rsidRPr="001D6EB4">
        <w:rPr>
          <w:lang w:val="en-GB"/>
        </w:rPr>
        <w:t xml:space="preserve"> economy is </w:t>
      </w:r>
      <w:proofErr w:type="spellStart"/>
      <w:r w:rsidRPr="001D6EB4">
        <w:rPr>
          <w:lang w:val="en-GB"/>
        </w:rPr>
        <w:t>dependant</w:t>
      </w:r>
      <w:proofErr w:type="spellEnd"/>
      <w:r w:rsidRPr="001D6EB4">
        <w:rPr>
          <w:lang w:val="en-GB"/>
        </w:rPr>
        <w:t xml:space="preserve"> on the programme</w:t>
      </w:r>
      <w:r w:rsidR="004A3FB6">
        <w:rPr>
          <w:lang w:val="en-GB"/>
        </w:rPr>
        <w:t>,</w:t>
      </w:r>
      <w:r w:rsidR="004A3FB6" w:rsidRPr="001D6EB4">
        <w:rPr>
          <w:rStyle w:val="FootnoteReference"/>
          <w:lang w:val="en-GB"/>
        </w:rPr>
        <w:footnoteReference w:id="130"/>
      </w:r>
      <w:r w:rsidR="004A3FB6">
        <w:rPr>
          <w:lang w:val="en-GB"/>
        </w:rPr>
        <w:t xml:space="preserve"> </w:t>
      </w:r>
      <w:r w:rsidR="004A3FB6" w:rsidRPr="00607DF1">
        <w:rPr>
          <w:lang w:val="en-GB"/>
        </w:rPr>
        <w:t xml:space="preserve">despite the </w:t>
      </w:r>
      <w:r w:rsidR="00593E1D" w:rsidRPr="00607DF1">
        <w:rPr>
          <w:lang w:val="en-GB"/>
        </w:rPr>
        <w:t>observation of the International Monetary Fund (</w:t>
      </w:r>
      <w:r w:rsidR="004A3FB6" w:rsidRPr="00607DF1">
        <w:rPr>
          <w:lang w:val="en-GB"/>
        </w:rPr>
        <w:t>IMF</w:t>
      </w:r>
      <w:r w:rsidR="00593E1D" w:rsidRPr="00607DF1">
        <w:rPr>
          <w:lang w:val="en-GB"/>
        </w:rPr>
        <w:t>)</w:t>
      </w:r>
      <w:r w:rsidR="004A3FB6" w:rsidRPr="00607DF1">
        <w:rPr>
          <w:lang w:val="en-GB"/>
        </w:rPr>
        <w:t xml:space="preserve"> that attainment of medium-term financial objectives depend ‘partly on IIP revenues, which are temporary and hard to predict’</w:t>
      </w:r>
      <w:r w:rsidRPr="00607DF1">
        <w:rPr>
          <w:lang w:val="en-GB"/>
        </w:rPr>
        <w:t>.</w:t>
      </w:r>
      <w:r w:rsidR="004A3FB6" w:rsidRPr="00607DF1">
        <w:rPr>
          <w:rStyle w:val="FootnoteReference"/>
          <w:lang w:val="en-GB"/>
        </w:rPr>
        <w:footnoteReference w:id="131"/>
      </w:r>
      <w:r w:rsidRPr="00607DF1">
        <w:rPr>
          <w:rStyle w:val="FootnoteReference"/>
          <w:lang w:val="en-GB"/>
        </w:rPr>
        <w:t xml:space="preserve"> </w:t>
      </w:r>
      <w:r w:rsidRPr="00607DF1">
        <w:rPr>
          <w:lang w:val="en-GB"/>
        </w:rPr>
        <w:t xml:space="preserve">The </w:t>
      </w:r>
      <w:r w:rsidR="00593E1D" w:rsidRPr="00607DF1">
        <w:rPr>
          <w:lang w:val="en-GB"/>
        </w:rPr>
        <w:t>IMF</w:t>
      </w:r>
      <w:r w:rsidRPr="00607DF1">
        <w:rPr>
          <w:lang w:val="en-GB"/>
        </w:rPr>
        <w:t xml:space="preserve"> report on Malta </w:t>
      </w:r>
      <w:r w:rsidR="00F167F6" w:rsidRPr="00607DF1">
        <w:rPr>
          <w:lang w:val="en-GB"/>
        </w:rPr>
        <w:t>praises the overall economic growth of the country, but warns of two potential risks of the programme: 1) its potential to distort the country’s housing market; and 2) risks associated with money laundering and thus the integrity of the financial system.</w:t>
      </w:r>
      <w:r w:rsidR="00F167F6" w:rsidRPr="00607DF1">
        <w:rPr>
          <w:rStyle w:val="FootnoteReference"/>
          <w:lang w:val="en-GB"/>
        </w:rPr>
        <w:footnoteReference w:id="132"/>
      </w:r>
    </w:p>
    <w:p w14:paraId="513D2F7D" w14:textId="77777777" w:rsidR="0057145E" w:rsidRDefault="0057145E" w:rsidP="0057145E">
      <w:pPr>
        <w:pStyle w:val="MBT"/>
        <w:rPr>
          <w:lang w:val="en-GB"/>
        </w:rPr>
      </w:pPr>
    </w:p>
    <w:p w14:paraId="3353B54A" w14:textId="77777777" w:rsidR="00672795" w:rsidRDefault="00672795" w:rsidP="00446534">
      <w:pPr>
        <w:pStyle w:val="MBT"/>
        <w:rPr>
          <w:lang w:val="en-GB"/>
        </w:rPr>
      </w:pPr>
      <w:r>
        <w:rPr>
          <w:lang w:val="en-GB"/>
        </w:rPr>
        <w:t>Regulation 7(5) of LN 47/2014 requires the IIP applicant to ‘</w:t>
      </w:r>
      <w:r w:rsidRPr="0044090D">
        <w:rPr>
          <w:lang w:val="en-GB"/>
        </w:rPr>
        <w:t>acquire and hold a residential immovable property in Malta having a minimum value of EUR 350,000; or (b) take on lease a residential immovable property for a minimum annual rent of EUR 16,000</w:t>
      </w:r>
      <w:r>
        <w:rPr>
          <w:lang w:val="en-GB"/>
        </w:rPr>
        <w:t>’</w:t>
      </w:r>
      <w:r w:rsidR="00195463">
        <w:rPr>
          <w:lang w:val="en-GB"/>
        </w:rPr>
        <w:t>. M</w:t>
      </w:r>
      <w:r>
        <w:rPr>
          <w:lang w:val="en-GB"/>
        </w:rPr>
        <w:t xml:space="preserve">ost applicants have chosen the second option, committing to </w:t>
      </w:r>
      <w:r w:rsidR="00195463">
        <w:rPr>
          <w:lang w:val="en-GB"/>
        </w:rPr>
        <w:t>five-year</w:t>
      </w:r>
      <w:r>
        <w:rPr>
          <w:lang w:val="en-GB"/>
        </w:rPr>
        <w:t xml:space="preserve"> rentals, as stipulated by law. </w:t>
      </w:r>
      <w:r w:rsidR="00195463">
        <w:rPr>
          <w:lang w:val="en-GB"/>
        </w:rPr>
        <w:t xml:space="preserve">From the start of the IIP until June 2017, a total of 82 properties </w:t>
      </w:r>
      <w:r w:rsidR="00593E1D">
        <w:rPr>
          <w:lang w:val="en-GB"/>
        </w:rPr>
        <w:t>were</w:t>
      </w:r>
      <w:r w:rsidR="00195463">
        <w:rPr>
          <w:lang w:val="en-GB"/>
        </w:rPr>
        <w:t xml:space="preserve"> purchased, while 484 properties were leased. </w:t>
      </w:r>
      <w:r w:rsidR="00195463" w:rsidRPr="00195463">
        <w:rPr>
          <w:lang w:val="en-GB"/>
        </w:rPr>
        <w:t>The value of the 82 pu</w:t>
      </w:r>
      <w:r w:rsidR="00593E1D">
        <w:rPr>
          <w:lang w:val="en-GB"/>
        </w:rPr>
        <w:t xml:space="preserve">rchased properties amounted to EUR </w:t>
      </w:r>
      <w:r w:rsidR="00195463" w:rsidRPr="00195463">
        <w:rPr>
          <w:lang w:val="en-GB"/>
        </w:rPr>
        <w:t xml:space="preserve">71,190,233.31 (averaging </w:t>
      </w:r>
      <w:r w:rsidR="00593E1D">
        <w:rPr>
          <w:lang w:val="en-GB"/>
        </w:rPr>
        <w:t xml:space="preserve">EUR </w:t>
      </w:r>
      <w:r w:rsidR="00195463" w:rsidRPr="00195463">
        <w:rPr>
          <w:lang w:val="en-GB"/>
        </w:rPr>
        <w:t>868,173.58 per property), and it is estimated that the reve</w:t>
      </w:r>
      <w:r w:rsidR="00593E1D">
        <w:rPr>
          <w:lang w:val="en-GB"/>
        </w:rPr>
        <w:t xml:space="preserve">nue from all 484 leased properties would add up to EUR </w:t>
      </w:r>
      <w:r w:rsidR="00195463" w:rsidRPr="00195463">
        <w:rPr>
          <w:lang w:val="en-GB"/>
        </w:rPr>
        <w:t xml:space="preserve">51,131,040.45, averaging </w:t>
      </w:r>
      <w:r w:rsidR="00593E1D">
        <w:rPr>
          <w:lang w:val="en-GB"/>
        </w:rPr>
        <w:t xml:space="preserve">EUR </w:t>
      </w:r>
      <w:r w:rsidR="00195463" w:rsidRPr="00195463">
        <w:rPr>
          <w:lang w:val="en-GB"/>
        </w:rPr>
        <w:t xml:space="preserve">105,642.64 per leased property (annual average rental value of </w:t>
      </w:r>
      <w:r w:rsidR="00593E1D">
        <w:rPr>
          <w:lang w:val="en-GB"/>
        </w:rPr>
        <w:t xml:space="preserve">EUR </w:t>
      </w:r>
      <w:r w:rsidR="00195463" w:rsidRPr="00195463">
        <w:rPr>
          <w:lang w:val="en-GB"/>
        </w:rPr>
        <w:t>21,128.53).</w:t>
      </w:r>
      <w:r w:rsidR="00195463">
        <w:rPr>
          <w:rStyle w:val="FootnoteReference"/>
          <w:lang w:val="en-GB"/>
        </w:rPr>
        <w:footnoteReference w:id="133"/>
      </w:r>
      <w:r w:rsidR="0001209F">
        <w:rPr>
          <w:lang w:val="en-GB"/>
        </w:rPr>
        <w:t xml:space="preserve"> Media reports have indicated that the IIP has pushed the property prices upwards, and the </w:t>
      </w:r>
      <w:r w:rsidR="00593E1D">
        <w:rPr>
          <w:lang w:val="en-GB"/>
        </w:rPr>
        <w:t>IMF</w:t>
      </w:r>
      <w:r w:rsidR="0001209F">
        <w:rPr>
          <w:lang w:val="en-GB"/>
        </w:rPr>
        <w:t xml:space="preserve"> has warned Malta of the increased financial stability risks caused by this trend. The IMF has also recommended that </w:t>
      </w:r>
      <w:r w:rsidR="0001209F" w:rsidRPr="0001209F">
        <w:rPr>
          <w:lang w:val="en-GB"/>
        </w:rPr>
        <w:t xml:space="preserve">periodic reviews of </w:t>
      </w:r>
      <w:r w:rsidR="00593E1D">
        <w:rPr>
          <w:lang w:val="en-GB"/>
        </w:rPr>
        <w:t xml:space="preserve">the </w:t>
      </w:r>
      <w:r w:rsidR="0001209F" w:rsidRPr="0001209F">
        <w:rPr>
          <w:lang w:val="en-GB"/>
        </w:rPr>
        <w:t>IIP ‘including the minimum real estate investment or leasing values could help curb the housing demand pressure and may improve the predictability of fiscal values’.</w:t>
      </w:r>
      <w:r w:rsidR="0001209F">
        <w:rPr>
          <w:rStyle w:val="FootnoteReference"/>
          <w:lang w:val="en-GB"/>
        </w:rPr>
        <w:footnoteReference w:id="134"/>
      </w:r>
    </w:p>
    <w:p w14:paraId="2D5E9A6C" w14:textId="77777777" w:rsidR="0001209F" w:rsidRDefault="0001209F" w:rsidP="00446534">
      <w:pPr>
        <w:pStyle w:val="MBT"/>
        <w:rPr>
          <w:lang w:val="en-GB"/>
        </w:rPr>
      </w:pPr>
    </w:p>
    <w:p w14:paraId="2156E01A" w14:textId="77777777" w:rsidR="00195463" w:rsidRDefault="0001209F" w:rsidP="00446534">
      <w:pPr>
        <w:pStyle w:val="MBT"/>
        <w:rPr>
          <w:lang w:val="en-GB"/>
        </w:rPr>
      </w:pPr>
      <w:r>
        <w:rPr>
          <w:lang w:val="en-GB"/>
        </w:rPr>
        <w:t xml:space="preserve">Further to this, Regulation </w:t>
      </w:r>
      <w:r w:rsidRPr="0001209F">
        <w:rPr>
          <w:lang w:val="en-GB"/>
        </w:rPr>
        <w:t xml:space="preserve">7(6) of </w:t>
      </w:r>
      <w:r w:rsidR="003C31B7">
        <w:rPr>
          <w:lang w:val="en-GB"/>
        </w:rPr>
        <w:t>LN 47/2017</w:t>
      </w:r>
      <w:r w:rsidRPr="0001209F">
        <w:rPr>
          <w:lang w:val="en-GB"/>
        </w:rPr>
        <w:t xml:space="preserve"> </w:t>
      </w:r>
      <w:r w:rsidR="00593E1D">
        <w:rPr>
          <w:lang w:val="en-GB"/>
        </w:rPr>
        <w:t>requires</w:t>
      </w:r>
      <w:r w:rsidRPr="0001209F">
        <w:rPr>
          <w:lang w:val="en-GB"/>
        </w:rPr>
        <w:t xml:space="preserve"> an IIP applicant</w:t>
      </w:r>
      <w:r w:rsidR="00593E1D">
        <w:rPr>
          <w:lang w:val="en-GB"/>
        </w:rPr>
        <w:t xml:space="preserve"> to</w:t>
      </w:r>
      <w:r w:rsidRPr="0001209F">
        <w:rPr>
          <w:lang w:val="en-GB"/>
        </w:rPr>
        <w:t xml:space="preserve"> make a mi</w:t>
      </w:r>
      <w:r w:rsidR="00593E1D">
        <w:rPr>
          <w:lang w:val="en-GB"/>
        </w:rPr>
        <w:t>nimum investment of EUR 150,000 in stocks of the Maltese</w:t>
      </w:r>
      <w:r w:rsidRPr="0001209F">
        <w:rPr>
          <w:lang w:val="en-GB"/>
        </w:rPr>
        <w:t xml:space="preserve"> government. The total investment made </w:t>
      </w:r>
      <w:r w:rsidR="00593E1D">
        <w:rPr>
          <w:lang w:val="en-GB"/>
        </w:rPr>
        <w:t>between</w:t>
      </w:r>
      <w:r w:rsidRPr="0001209F">
        <w:rPr>
          <w:lang w:val="en-GB"/>
        </w:rPr>
        <w:t xml:space="preserve"> the start of the</w:t>
      </w:r>
      <w:r w:rsidR="00593E1D">
        <w:rPr>
          <w:lang w:val="en-GB"/>
        </w:rPr>
        <w:t xml:space="preserve"> programme and 30 June 2017 is EUR </w:t>
      </w:r>
      <w:r w:rsidRPr="0001209F">
        <w:rPr>
          <w:lang w:val="en-GB"/>
        </w:rPr>
        <w:t>85,873,164.71.</w:t>
      </w:r>
      <w:r>
        <w:rPr>
          <w:lang w:val="en-GB"/>
        </w:rPr>
        <w:t xml:space="preserve"> </w:t>
      </w:r>
      <w:r w:rsidR="00DC771C" w:rsidRPr="00DC771C">
        <w:rPr>
          <w:lang w:val="en-GB"/>
        </w:rPr>
        <w:t xml:space="preserve">All the pecuniary contributions to the IIP, including </w:t>
      </w:r>
      <w:r w:rsidR="00593E1D" w:rsidRPr="00DC771C">
        <w:rPr>
          <w:lang w:val="en-GB"/>
        </w:rPr>
        <w:t>property</w:t>
      </w:r>
      <w:r w:rsidR="00DC771C" w:rsidRPr="00DC771C">
        <w:rPr>
          <w:lang w:val="en-GB"/>
        </w:rPr>
        <w:t xml:space="preserve"> purchases and rent, investments and contributions from the start of the programme until 30 June </w:t>
      </w:r>
      <w:r w:rsidR="00DC771C" w:rsidRPr="00DF3103">
        <w:rPr>
          <w:lang w:val="en-GB"/>
        </w:rPr>
        <w:t xml:space="preserve">2017 amounted to </w:t>
      </w:r>
      <w:r w:rsidR="00593E1D" w:rsidRPr="00DF3103">
        <w:rPr>
          <w:lang w:val="en-GB"/>
        </w:rPr>
        <w:t xml:space="preserve">EUR </w:t>
      </w:r>
      <w:r w:rsidR="00DC771C" w:rsidRPr="00DF3103">
        <w:rPr>
          <w:lang w:val="en-GB"/>
        </w:rPr>
        <w:t xml:space="preserve">509,375,000, distributed as follows: </w:t>
      </w:r>
      <w:r w:rsidR="00593E1D" w:rsidRPr="00DF3103">
        <w:rPr>
          <w:lang w:val="en-GB"/>
        </w:rPr>
        <w:t xml:space="preserve">EUR </w:t>
      </w:r>
      <w:r w:rsidR="00DC771C" w:rsidRPr="00DF3103">
        <w:rPr>
          <w:lang w:val="en-GB"/>
        </w:rPr>
        <w:t xml:space="preserve">249,328,799 the National Development and Social Fund; </w:t>
      </w:r>
      <w:r w:rsidR="00593E1D" w:rsidRPr="00DF3103">
        <w:rPr>
          <w:lang w:val="en-GB"/>
        </w:rPr>
        <w:t xml:space="preserve">EUR </w:t>
      </w:r>
      <w:r w:rsidR="00DC771C" w:rsidRPr="00DF3103">
        <w:rPr>
          <w:lang w:val="en-GB"/>
        </w:rPr>
        <w:t>106,</w:t>
      </w:r>
      <w:r w:rsidR="00593E1D" w:rsidRPr="00DF3103">
        <w:rPr>
          <w:lang w:val="en-GB"/>
        </w:rPr>
        <w:t xml:space="preserve">855,199 the Consolidated Fund; EUR </w:t>
      </w:r>
      <w:r w:rsidR="00DC771C" w:rsidRPr="00DF3103">
        <w:rPr>
          <w:lang w:val="en-GB"/>
        </w:rPr>
        <w:t>23,</w:t>
      </w:r>
      <w:r w:rsidR="00593E1D" w:rsidRPr="00DF3103">
        <w:rPr>
          <w:lang w:val="en-GB"/>
        </w:rPr>
        <w:t xml:space="preserve">701,500 Identity Malta Agency; EUR </w:t>
      </w:r>
      <w:r w:rsidR="00DC771C" w:rsidRPr="00DF3103">
        <w:rPr>
          <w:lang w:val="en-GB"/>
        </w:rPr>
        <w:t xml:space="preserve">19,054,000 Henley &amp; Partners, while the distribution of </w:t>
      </w:r>
      <w:r w:rsidR="00593E1D" w:rsidRPr="00DF3103">
        <w:rPr>
          <w:lang w:val="en-GB"/>
        </w:rPr>
        <w:t xml:space="preserve">EUR </w:t>
      </w:r>
      <w:r w:rsidR="00DC771C" w:rsidRPr="00DF3103">
        <w:rPr>
          <w:lang w:val="en-GB"/>
        </w:rPr>
        <w:t xml:space="preserve">110,435,502 in the </w:t>
      </w:r>
      <w:r w:rsidR="007E3BB9" w:rsidRPr="00DF3103">
        <w:rPr>
          <w:lang w:val="en-GB"/>
        </w:rPr>
        <w:t>s</w:t>
      </w:r>
      <w:r w:rsidR="00DC771C" w:rsidRPr="00DF3103">
        <w:rPr>
          <w:lang w:val="en-GB"/>
        </w:rPr>
        <w:t>uspense account</w:t>
      </w:r>
      <w:r w:rsidR="001D076C" w:rsidRPr="00DF3103">
        <w:rPr>
          <w:lang w:val="en-GB"/>
        </w:rPr>
        <w:t xml:space="preserve"> </w:t>
      </w:r>
      <w:r w:rsidR="00DC771C" w:rsidRPr="00DF3103">
        <w:rPr>
          <w:lang w:val="en-GB"/>
        </w:rPr>
        <w:t>was pending in June 2017.</w:t>
      </w:r>
      <w:r w:rsidR="00DC771C" w:rsidRPr="00DF3103">
        <w:rPr>
          <w:rStyle w:val="FootnoteReference"/>
          <w:lang w:val="en-GB"/>
        </w:rPr>
        <w:footnoteReference w:id="135"/>
      </w:r>
      <w:r w:rsidR="00DC771C">
        <w:rPr>
          <w:lang w:val="en-GB"/>
        </w:rPr>
        <w:t xml:space="preserve"> </w:t>
      </w:r>
    </w:p>
    <w:p w14:paraId="1CE00822" w14:textId="77777777" w:rsidR="00195463" w:rsidRDefault="00195463" w:rsidP="00446534">
      <w:pPr>
        <w:pStyle w:val="MBT"/>
        <w:rPr>
          <w:lang w:val="en-GB"/>
        </w:rPr>
      </w:pPr>
    </w:p>
    <w:p w14:paraId="59A4CD27" w14:textId="77777777" w:rsidR="00195463" w:rsidRDefault="00195463" w:rsidP="00446534">
      <w:pPr>
        <w:pStyle w:val="MBT"/>
        <w:rPr>
          <w:lang w:val="en-GB"/>
        </w:rPr>
      </w:pPr>
    </w:p>
    <w:p w14:paraId="225F31FA" w14:textId="77777777" w:rsidR="005F0B69" w:rsidRDefault="005F0B69" w:rsidP="00446534">
      <w:pPr>
        <w:pStyle w:val="MBT"/>
        <w:rPr>
          <w:lang w:val="en-GB"/>
        </w:rPr>
      </w:pPr>
    </w:p>
    <w:p w14:paraId="390D115F" w14:textId="77777777" w:rsidR="00AC2EEB" w:rsidRPr="0044090D" w:rsidRDefault="00AC2EEB" w:rsidP="00340E44">
      <w:pPr>
        <w:pStyle w:val="MH1nonumb"/>
        <w:numPr>
          <w:ilvl w:val="0"/>
          <w:numId w:val="12"/>
        </w:numPr>
        <w:spacing w:after="0"/>
        <w:ind w:left="426" w:hanging="284"/>
      </w:pPr>
      <w:bookmarkStart w:id="16" w:name="_Toc496025542"/>
      <w:bookmarkStart w:id="17" w:name="_Toc496124924"/>
      <w:bookmarkStart w:id="18" w:name="_Toc517766166"/>
      <w:r w:rsidRPr="0044090D">
        <w:lastRenderedPageBreak/>
        <w:t>OTHER COMMENTS</w:t>
      </w:r>
      <w:bookmarkEnd w:id="16"/>
      <w:bookmarkEnd w:id="17"/>
      <w:bookmarkEnd w:id="18"/>
    </w:p>
    <w:p w14:paraId="2C848C1D" w14:textId="77777777" w:rsidR="00340E44" w:rsidRDefault="00340E44" w:rsidP="00340E44">
      <w:pPr>
        <w:pStyle w:val="MBT"/>
        <w:rPr>
          <w:lang w:val="en-GB"/>
        </w:rPr>
      </w:pPr>
    </w:p>
    <w:p w14:paraId="51E665C5" w14:textId="5D29ED61" w:rsidR="00C402A6" w:rsidRPr="00C402A6" w:rsidRDefault="00B83E6E" w:rsidP="00340E44">
      <w:pPr>
        <w:pStyle w:val="MBT"/>
        <w:rPr>
          <w:lang w:val="en-GB"/>
        </w:rPr>
      </w:pPr>
      <w:r>
        <w:rPr>
          <w:lang w:val="en-GB"/>
        </w:rPr>
        <w:t xml:space="preserve">While </w:t>
      </w:r>
      <w:r w:rsidR="000621B8">
        <w:t>Regulation</w:t>
      </w:r>
      <w:r w:rsidR="00B85F19">
        <w:t>s</w:t>
      </w:r>
      <w:r w:rsidR="000621B8">
        <w:t xml:space="preserve"> </w:t>
      </w:r>
      <w:r w:rsidR="002A117A">
        <w:t>5</w:t>
      </w:r>
      <w:r w:rsidR="000621B8">
        <w:t xml:space="preserve"> </w:t>
      </w:r>
      <w:r w:rsidR="00B85F19">
        <w:t xml:space="preserve">and 7 </w:t>
      </w:r>
      <w:r w:rsidR="000621B8">
        <w:t>of LN 47/2014</w:t>
      </w:r>
      <w:r>
        <w:rPr>
          <w:lang w:val="en-GB"/>
        </w:rPr>
        <w:t xml:space="preserve"> </w:t>
      </w:r>
      <w:r w:rsidR="002A117A">
        <w:rPr>
          <w:lang w:val="en-GB"/>
        </w:rPr>
        <w:t>cover</w:t>
      </w:r>
      <w:r w:rsidR="00823296">
        <w:rPr>
          <w:lang w:val="en-GB"/>
        </w:rPr>
        <w:t xml:space="preserve"> </w:t>
      </w:r>
      <w:r>
        <w:rPr>
          <w:lang w:val="en-GB"/>
        </w:rPr>
        <w:t xml:space="preserve">due diligence checks, public information on how these checks are performed and by which agencies is not available. Furthermore, as noted throughout this study, </w:t>
      </w:r>
      <w:proofErr w:type="spellStart"/>
      <w:r>
        <w:rPr>
          <w:lang w:val="en-GB"/>
        </w:rPr>
        <w:t>ORiip</w:t>
      </w:r>
      <w:proofErr w:type="spellEnd"/>
      <w:r>
        <w:rPr>
          <w:lang w:val="en-GB"/>
        </w:rPr>
        <w:t xml:space="preserve"> annual reports show discrepancies in terms of the number of applications and funds received. </w:t>
      </w:r>
      <w:r w:rsidR="00C402A6">
        <w:rPr>
          <w:lang w:val="en-GB"/>
        </w:rPr>
        <w:t>Indeed, the latest report stipulates that ‘</w:t>
      </w:r>
      <w:r w:rsidR="00C402A6" w:rsidRPr="00C402A6">
        <w:rPr>
          <w:lang w:val="en-GB"/>
        </w:rPr>
        <w:t xml:space="preserve">that IIP statistics are dynamic and therefore are continuously susceptible to variations. In particular, changes may be registered in locality details and property prices since applicants might opt to terminate a lease and start a new one without informing IMA accordingly in good time before the final annual statistics are passed on to the </w:t>
      </w:r>
      <w:proofErr w:type="spellStart"/>
      <w:r w:rsidR="00C402A6" w:rsidRPr="00C402A6">
        <w:rPr>
          <w:lang w:val="en-GB"/>
        </w:rPr>
        <w:t>ORiip</w:t>
      </w:r>
      <w:proofErr w:type="spellEnd"/>
      <w:r w:rsidR="00C402A6" w:rsidRPr="00C402A6">
        <w:rPr>
          <w:lang w:val="en-GB"/>
        </w:rPr>
        <w:t xml:space="preserve"> or at least before the final draft of the Report is drawn. This proviso applies both in the case of current data (information listed in this report) and historical data (information pertaining to the period prior to July 2016)</w:t>
      </w:r>
      <w:r w:rsidR="00C402A6">
        <w:rPr>
          <w:lang w:val="en-GB"/>
        </w:rPr>
        <w:t>’</w:t>
      </w:r>
      <w:r w:rsidR="00C402A6" w:rsidRPr="00C402A6">
        <w:rPr>
          <w:lang w:val="en-GB"/>
        </w:rPr>
        <w:t>.</w:t>
      </w:r>
      <w:r w:rsidR="00C402A6">
        <w:rPr>
          <w:rStyle w:val="FootnoteReference"/>
          <w:lang w:val="en-GB"/>
        </w:rPr>
        <w:footnoteReference w:id="136"/>
      </w:r>
      <w:r w:rsidR="00C402A6">
        <w:rPr>
          <w:lang w:val="en-GB"/>
        </w:rPr>
        <w:t xml:space="preserve"> Such fluctuations are possible in terms of property prices, but would need to be included in transparent statistical records. Discrepancies </w:t>
      </w:r>
      <w:r w:rsidR="00DF3103">
        <w:rPr>
          <w:lang w:val="en-GB"/>
        </w:rPr>
        <w:t>related to number</w:t>
      </w:r>
      <w:r w:rsidR="00C402A6">
        <w:rPr>
          <w:lang w:val="en-GB"/>
        </w:rPr>
        <w:t xml:space="preserve"> of applications </w:t>
      </w:r>
      <w:r w:rsidR="003A16B3">
        <w:rPr>
          <w:lang w:val="en-GB"/>
        </w:rPr>
        <w:t>might cause</w:t>
      </w:r>
      <w:r w:rsidR="00C402A6">
        <w:rPr>
          <w:lang w:val="en-GB"/>
        </w:rPr>
        <w:t xml:space="preserve"> concern, especially since reports clearly specify the periods of reference.</w:t>
      </w:r>
    </w:p>
    <w:p w14:paraId="0EDB2893" w14:textId="77777777" w:rsidR="00C402A6" w:rsidRPr="00C402A6" w:rsidRDefault="00C402A6" w:rsidP="00C402A6">
      <w:pPr>
        <w:pStyle w:val="MBT"/>
        <w:rPr>
          <w:lang w:val="en-GB"/>
        </w:rPr>
      </w:pPr>
    </w:p>
    <w:p w14:paraId="7DBFB400" w14:textId="373AB505" w:rsidR="007E3BB9" w:rsidRPr="00DF3103" w:rsidRDefault="00D62447" w:rsidP="001C22AD">
      <w:pPr>
        <w:pStyle w:val="MBT"/>
      </w:pPr>
      <w:r w:rsidRPr="00DF3103">
        <w:t xml:space="preserve">Due to the fact that the current IIP is capped at 1,800 successful applications, any additional </w:t>
      </w:r>
      <w:proofErr w:type="spellStart"/>
      <w:r w:rsidRPr="00DF3103">
        <w:t>naturalisations</w:t>
      </w:r>
      <w:proofErr w:type="spellEnd"/>
      <w:r w:rsidRPr="00DF3103">
        <w:t xml:space="preserve"> under the scheme would require legislative amendments. </w:t>
      </w:r>
      <w:r w:rsidR="009631DC" w:rsidRPr="00DF3103">
        <w:t xml:space="preserve">While there are no legal developments in the pipeline, </w:t>
      </w:r>
      <w:r w:rsidR="00EB6C20">
        <w:t xml:space="preserve">and the cap has not yet been reached, </w:t>
      </w:r>
      <w:r>
        <w:t xml:space="preserve">the </w:t>
      </w:r>
      <w:r w:rsidR="009631DC" w:rsidRPr="00DF3103">
        <w:t xml:space="preserve">Maltese media have reported the possibility of extending the </w:t>
      </w:r>
      <w:proofErr w:type="spellStart"/>
      <w:r w:rsidR="009631DC" w:rsidRPr="00DF3103">
        <w:t>programme</w:t>
      </w:r>
      <w:proofErr w:type="spellEnd"/>
      <w:r w:rsidR="009631DC" w:rsidRPr="00DF3103">
        <w:t xml:space="preserve">. </w:t>
      </w:r>
      <w:r w:rsidR="009938ED">
        <w:t xml:space="preserve">Identity Malta </w:t>
      </w:r>
      <w:r w:rsidR="00EB6C20">
        <w:t>recently held</w:t>
      </w:r>
      <w:r w:rsidR="009938ED">
        <w:t xml:space="preserve"> a ‘public consultation’ via an open online survey with the ‘</w:t>
      </w:r>
      <w:r w:rsidR="009938ED" w:rsidRPr="009938ED">
        <w:t xml:space="preserve">main objective of the updating and revision of the </w:t>
      </w:r>
      <w:proofErr w:type="spellStart"/>
      <w:r w:rsidR="009938ED" w:rsidRPr="009938ED">
        <w:t>Programme</w:t>
      </w:r>
      <w:proofErr w:type="spellEnd"/>
      <w:r w:rsidR="009938ED">
        <w:t>’.</w:t>
      </w:r>
      <w:r w:rsidR="009938ED">
        <w:rPr>
          <w:rStyle w:val="FootnoteReference"/>
        </w:rPr>
        <w:footnoteReference w:id="137"/>
      </w:r>
      <w:r w:rsidR="00623000">
        <w:t xml:space="preserve"> </w:t>
      </w:r>
      <w:r>
        <w:t>S</w:t>
      </w:r>
      <w:r w:rsidR="00DF3103" w:rsidRPr="00DF3103">
        <w:t>peaking</w:t>
      </w:r>
      <w:r w:rsidR="009631DC" w:rsidRPr="00DF3103">
        <w:t xml:space="preserve"> at the Henley</w:t>
      </w:r>
      <w:r w:rsidR="00DF3103">
        <w:t xml:space="preserve"> </w:t>
      </w:r>
      <w:r w:rsidR="009631DC" w:rsidRPr="00DF3103">
        <w:t>&amp;</w:t>
      </w:r>
      <w:r w:rsidR="00DF3103">
        <w:t xml:space="preserve"> </w:t>
      </w:r>
      <w:r w:rsidR="009631DC" w:rsidRPr="00DF3103">
        <w:t>Partners’ Residence and Citizenship by Investment Conference in Hong Kong</w:t>
      </w:r>
      <w:r w:rsidR="00DF3103">
        <w:t xml:space="preserve"> in November 2017, the Maltese Prime Minister</w:t>
      </w:r>
      <w:r w:rsidR="009631DC" w:rsidRPr="00DF3103">
        <w:t xml:space="preserve"> stated that the second iteration of the </w:t>
      </w:r>
      <w:proofErr w:type="spellStart"/>
      <w:r w:rsidR="009631DC" w:rsidRPr="00DF3103">
        <w:t>programme</w:t>
      </w:r>
      <w:proofErr w:type="spellEnd"/>
      <w:r w:rsidR="009631DC" w:rsidRPr="00DF3103">
        <w:t xml:space="preserve"> would be ‘even more exclusive’</w:t>
      </w:r>
      <w:r w:rsidR="00CE0245" w:rsidRPr="00DF3103">
        <w:t xml:space="preserve"> than the current one, implying an increase in required investment.</w:t>
      </w:r>
      <w:r w:rsidR="00CE0245" w:rsidRPr="00DF3103">
        <w:rPr>
          <w:rStyle w:val="FootnoteReference"/>
        </w:rPr>
        <w:footnoteReference w:id="138"/>
      </w:r>
      <w:r w:rsidR="00765DDD" w:rsidRPr="00DF3103">
        <w:t xml:space="preserve"> </w:t>
      </w:r>
    </w:p>
    <w:p w14:paraId="19B3554E" w14:textId="77777777" w:rsidR="00765DDD" w:rsidRPr="0044090D" w:rsidRDefault="00765DDD" w:rsidP="001C22AD">
      <w:pPr>
        <w:pStyle w:val="MBT"/>
        <w:rPr>
          <w:lang w:val="en-GB"/>
        </w:rPr>
      </w:pPr>
    </w:p>
    <w:sectPr w:rsidR="00765DDD" w:rsidRPr="0044090D" w:rsidSect="00FC6E29">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F95703" w14:textId="77777777" w:rsidR="004F7A5D" w:rsidRDefault="004F7A5D">
      <w:r>
        <w:separator/>
      </w:r>
    </w:p>
  </w:endnote>
  <w:endnote w:type="continuationSeparator" w:id="0">
    <w:p w14:paraId="7F72F0F5" w14:textId="77777777" w:rsidR="004F7A5D" w:rsidRDefault="004F7A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Cambria"/>
    <w:panose1 w:val="020B06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D3FBCD" w14:textId="77777777" w:rsidR="006C3500" w:rsidRDefault="006C3500">
    <w:pPr>
      <w:pStyle w:val="Footer"/>
      <w:rPr>
        <w:lang w:val="en-GB"/>
      </w:rPr>
    </w:pPr>
  </w:p>
  <w:tbl>
    <w:tblPr>
      <w:tblW w:w="0" w:type="auto"/>
      <w:tblBorders>
        <w:top w:val="single" w:sz="4" w:space="0" w:color="auto"/>
      </w:tblBorders>
      <w:tblLook w:val="01E0" w:firstRow="1" w:lastRow="1" w:firstColumn="1" w:lastColumn="1" w:noHBand="0" w:noVBand="0"/>
    </w:tblPr>
    <w:tblGrid>
      <w:gridCol w:w="2093"/>
      <w:gridCol w:w="7073"/>
    </w:tblGrid>
    <w:tr w:rsidR="006C3500" w:rsidRPr="00340E44" w14:paraId="4A0B129B" w14:textId="77777777">
      <w:tc>
        <w:tcPr>
          <w:tcW w:w="2093" w:type="dxa"/>
        </w:tcPr>
        <w:p w14:paraId="3C6F8F1C" w14:textId="77777777" w:rsidR="006C3500" w:rsidRPr="007E257E" w:rsidRDefault="006C3500" w:rsidP="00A57A4A">
          <w:pPr>
            <w:pStyle w:val="Header"/>
            <w:ind w:right="360"/>
            <w:rPr>
              <w:i/>
              <w:sz w:val="18"/>
              <w:szCs w:val="18"/>
            </w:rPr>
          </w:pPr>
          <w:r w:rsidRPr="007E257E">
            <w:rPr>
              <w:i/>
              <w:sz w:val="18"/>
              <w:szCs w:val="18"/>
            </w:rPr>
            <w:t xml:space="preserve">Milieu Ltd </w:t>
          </w:r>
        </w:p>
        <w:p w14:paraId="1ED20263" w14:textId="77777777" w:rsidR="006C3500" w:rsidRPr="007E257E" w:rsidRDefault="006C3500" w:rsidP="00A57A4A">
          <w:pPr>
            <w:pStyle w:val="Header"/>
            <w:ind w:right="360"/>
            <w:rPr>
              <w:i/>
              <w:sz w:val="18"/>
              <w:szCs w:val="18"/>
            </w:rPr>
          </w:pPr>
          <w:r w:rsidRPr="007E257E">
            <w:rPr>
              <w:i/>
              <w:sz w:val="18"/>
              <w:szCs w:val="18"/>
            </w:rPr>
            <w:t xml:space="preserve">Brussels </w:t>
          </w:r>
        </w:p>
      </w:tc>
      <w:tc>
        <w:tcPr>
          <w:tcW w:w="7073" w:type="dxa"/>
        </w:tcPr>
        <w:p w14:paraId="79B258F1" w14:textId="77777777" w:rsidR="006C3500" w:rsidRPr="000C74BF" w:rsidRDefault="006C3500" w:rsidP="00A57A4A">
          <w:pPr>
            <w:pStyle w:val="Header"/>
            <w:ind w:right="19"/>
            <w:jc w:val="right"/>
            <w:rPr>
              <w:i/>
              <w:sz w:val="18"/>
              <w:szCs w:val="18"/>
              <w:lang w:val="en-GB"/>
            </w:rPr>
          </w:pPr>
          <w:r w:rsidRPr="0034536F">
            <w:rPr>
              <w:i/>
              <w:sz w:val="18"/>
              <w:szCs w:val="18"/>
              <w:lang w:val="en-GB"/>
            </w:rPr>
            <w:t xml:space="preserve">Conformity Study Directive 2011/70/EURATOM  for </w:t>
          </w:r>
          <w:r w:rsidRPr="00B611C9">
            <w:rPr>
              <w:i/>
              <w:sz w:val="18"/>
              <w:szCs w:val="18"/>
              <w:highlight w:val="yellow"/>
              <w:lang w:val="en-GB"/>
            </w:rPr>
            <w:t>Country</w:t>
          </w:r>
          <w:r w:rsidRPr="00310B03">
            <w:rPr>
              <w:i/>
              <w:sz w:val="18"/>
              <w:szCs w:val="18"/>
              <w:highlight w:val="yellow"/>
              <w:lang w:val="en-GB"/>
            </w:rPr>
            <w:t xml:space="preserve">, </w:t>
          </w:r>
          <w:r>
            <w:rPr>
              <w:i/>
              <w:sz w:val="18"/>
              <w:szCs w:val="18"/>
              <w:highlight w:val="yellow"/>
              <w:lang w:val="en-GB"/>
            </w:rPr>
            <w:t>Month 2014</w:t>
          </w:r>
          <w:r w:rsidRPr="00310B03">
            <w:rPr>
              <w:i/>
              <w:sz w:val="18"/>
              <w:szCs w:val="18"/>
              <w:highlight w:val="yellow"/>
              <w:lang w:val="en-GB"/>
            </w:rPr>
            <w:t xml:space="preserve"> / </w:t>
          </w:r>
          <w:r w:rsidRPr="00310B03">
            <w:rPr>
              <w:rStyle w:val="PageNumber"/>
              <w:sz w:val="18"/>
              <w:szCs w:val="18"/>
            </w:rPr>
            <w:fldChar w:fldCharType="begin"/>
          </w:r>
          <w:r w:rsidRPr="00310B03">
            <w:rPr>
              <w:rStyle w:val="PageNumber"/>
              <w:sz w:val="18"/>
              <w:szCs w:val="18"/>
              <w:lang w:val="en-GB"/>
            </w:rPr>
            <w:instrText xml:space="preserve"> PAGE </w:instrText>
          </w:r>
          <w:r w:rsidRPr="00310B03">
            <w:rPr>
              <w:rStyle w:val="PageNumber"/>
              <w:sz w:val="18"/>
              <w:szCs w:val="18"/>
            </w:rPr>
            <w:fldChar w:fldCharType="separate"/>
          </w:r>
          <w:r>
            <w:rPr>
              <w:rStyle w:val="PageNumber"/>
              <w:noProof/>
              <w:sz w:val="18"/>
              <w:szCs w:val="18"/>
              <w:lang w:val="en-GB"/>
            </w:rPr>
            <w:t>9</w:t>
          </w:r>
          <w:r w:rsidRPr="00310B03">
            <w:rPr>
              <w:rStyle w:val="PageNumber"/>
              <w:sz w:val="18"/>
              <w:szCs w:val="18"/>
            </w:rPr>
            <w:fldChar w:fldCharType="end"/>
          </w:r>
        </w:p>
      </w:tc>
    </w:tr>
  </w:tbl>
  <w:p w14:paraId="25D5A44B" w14:textId="77777777" w:rsidR="006C3500" w:rsidRPr="00EF3893" w:rsidRDefault="006C3500">
    <w:pPr>
      <w:pStyle w:val="Footer"/>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37B1BE" w14:textId="77777777" w:rsidR="006C3500" w:rsidRDefault="006C3500" w:rsidP="00BD262D">
    <w:pPr>
      <w:pStyle w:val="Footer"/>
      <w:ind w:right="360"/>
      <w:rPr>
        <w:lang w:val="en-GB"/>
      </w:rPr>
    </w:pPr>
  </w:p>
  <w:p w14:paraId="26AAB2F9" w14:textId="77777777" w:rsidR="006C3500" w:rsidRPr="00AC2EEB" w:rsidRDefault="006C3500" w:rsidP="00BD262D">
    <w:pPr>
      <w:pStyle w:val="Footer"/>
      <w:ind w:right="360"/>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494438" w14:textId="77777777" w:rsidR="006C3500" w:rsidRDefault="006C3500" w:rsidP="00BD262D">
    <w:pPr>
      <w:pStyle w:val="Footer"/>
      <w:ind w:right="360"/>
      <w:rPr>
        <w:lang w:val="en-GB"/>
      </w:rPr>
    </w:pPr>
  </w:p>
  <w:tbl>
    <w:tblPr>
      <w:tblW w:w="5084" w:type="pct"/>
      <w:tblBorders>
        <w:top w:val="single" w:sz="4" w:space="0" w:color="auto"/>
      </w:tblBorders>
      <w:tblLook w:val="01E0" w:firstRow="1" w:lastRow="1" w:firstColumn="1" w:lastColumn="1" w:noHBand="0" w:noVBand="0"/>
    </w:tblPr>
    <w:tblGrid>
      <w:gridCol w:w="2320"/>
      <w:gridCol w:w="6858"/>
    </w:tblGrid>
    <w:tr w:rsidR="006C3500" w:rsidRPr="00340E44" w14:paraId="5199ACDC" w14:textId="77777777" w:rsidTr="006F14FB">
      <w:tc>
        <w:tcPr>
          <w:tcW w:w="1264" w:type="pct"/>
        </w:tcPr>
        <w:p w14:paraId="59CAE5BE" w14:textId="77777777" w:rsidR="006C3500" w:rsidRPr="007E4F06" w:rsidRDefault="006C3500" w:rsidP="00666448">
          <w:pPr>
            <w:tabs>
              <w:tab w:val="left" w:pos="1212"/>
            </w:tabs>
            <w:ind w:right="360"/>
            <w:rPr>
              <w:i/>
              <w:sz w:val="18"/>
              <w:lang w:val="en-GB"/>
            </w:rPr>
          </w:pPr>
          <w:r>
            <w:rPr>
              <w:i/>
              <w:sz w:val="18"/>
              <w:lang w:val="en-GB"/>
            </w:rPr>
            <w:t xml:space="preserve">Milieu Ltd </w:t>
          </w:r>
        </w:p>
        <w:p w14:paraId="57DC9C37" w14:textId="31AE45EA" w:rsidR="006C3500" w:rsidRPr="007E4F06" w:rsidRDefault="006C3500" w:rsidP="0081051E">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736" w:type="pct"/>
        </w:tcPr>
        <w:p w14:paraId="4561BCED" w14:textId="17F094A1" w:rsidR="006C3500" w:rsidRPr="007E4F06" w:rsidRDefault="006C3500" w:rsidP="0081051E">
          <w:pPr>
            <w:tabs>
              <w:tab w:val="center" w:pos="4153"/>
              <w:tab w:val="right" w:pos="8306"/>
            </w:tabs>
            <w:ind w:left="474" w:right="19" w:hanging="474"/>
            <w:jc w:val="right"/>
            <w:rPr>
              <w:i/>
              <w:sz w:val="18"/>
              <w:lang w:val="en-GB"/>
            </w:rPr>
          </w:pPr>
          <w:r w:rsidRPr="007E4F06">
            <w:rPr>
              <w:i/>
              <w:sz w:val="18"/>
              <w:lang w:val="en-GB"/>
            </w:rPr>
            <w:t>Deliverable B.I – Investors’ Citizenship Schemes in</w:t>
          </w:r>
          <w:r>
            <w:rPr>
              <w:i/>
              <w:sz w:val="18"/>
              <w:lang w:val="en-GB"/>
            </w:rPr>
            <w:t xml:space="preserve"> 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15</w:t>
          </w:r>
          <w:r>
            <w:rPr>
              <w:i/>
              <w:noProof/>
              <w:sz w:val="18"/>
              <w:lang w:val="en-GB"/>
            </w:rPr>
            <w:fldChar w:fldCharType="end"/>
          </w:r>
        </w:p>
      </w:tc>
    </w:tr>
  </w:tbl>
  <w:p w14:paraId="0F8948D2" w14:textId="77777777" w:rsidR="006C3500" w:rsidRPr="00AC2EEB" w:rsidRDefault="006C3500" w:rsidP="00BD262D">
    <w:pPr>
      <w:pStyle w:val="Footer"/>
      <w:ind w:right="360"/>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614532" w14:textId="77777777" w:rsidR="006C3500" w:rsidRDefault="006C350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3353"/>
      <w:gridCol w:w="10605"/>
    </w:tblGrid>
    <w:tr w:rsidR="006C3500" w:rsidRPr="00340E44" w14:paraId="4E5F8618" w14:textId="77777777">
      <w:tc>
        <w:tcPr>
          <w:tcW w:w="1201" w:type="pct"/>
        </w:tcPr>
        <w:p w14:paraId="4AA86B07" w14:textId="77777777" w:rsidR="006C3500" w:rsidRPr="007E4F06" w:rsidRDefault="006C3500" w:rsidP="00666448">
          <w:pPr>
            <w:tabs>
              <w:tab w:val="left" w:pos="1212"/>
            </w:tabs>
            <w:ind w:right="360"/>
            <w:rPr>
              <w:i/>
              <w:sz w:val="18"/>
              <w:lang w:val="en-GB"/>
            </w:rPr>
          </w:pPr>
          <w:r>
            <w:rPr>
              <w:i/>
              <w:sz w:val="18"/>
              <w:lang w:val="en-GB"/>
            </w:rPr>
            <w:t xml:space="preserve">Milieu Ltd </w:t>
          </w:r>
        </w:p>
        <w:p w14:paraId="3A1EB98B" w14:textId="05BCECB7" w:rsidR="006C3500" w:rsidRPr="007E4F06" w:rsidRDefault="006C3500" w:rsidP="00DA61D1">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799" w:type="pct"/>
        </w:tcPr>
        <w:p w14:paraId="47C0E6B5" w14:textId="79BA7FB5" w:rsidR="006C3500" w:rsidRPr="007E4F06" w:rsidRDefault="006C3500" w:rsidP="00666448">
          <w:pPr>
            <w:tabs>
              <w:tab w:val="center" w:pos="4153"/>
              <w:tab w:val="right" w:pos="8306"/>
            </w:tabs>
            <w:ind w:right="19"/>
            <w:jc w:val="right"/>
            <w:rPr>
              <w:i/>
              <w:sz w:val="18"/>
              <w:lang w:val="en-GB"/>
            </w:rPr>
          </w:pPr>
          <w:r w:rsidRPr="007E4F06">
            <w:rPr>
              <w:i/>
              <w:sz w:val="18"/>
              <w:lang w:val="en-GB"/>
            </w:rPr>
            <w:t>Deliverable B.I – Inv</w:t>
          </w:r>
          <w:r>
            <w:rPr>
              <w:i/>
              <w:sz w:val="18"/>
              <w:lang w:val="en-GB"/>
            </w:rPr>
            <w:t>estors’ Citizenship Schemes in 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21</w:t>
          </w:r>
          <w:r>
            <w:rPr>
              <w:i/>
              <w:noProof/>
              <w:sz w:val="18"/>
              <w:lang w:val="en-GB"/>
            </w:rPr>
            <w:fldChar w:fldCharType="end"/>
          </w:r>
        </w:p>
      </w:tc>
    </w:tr>
  </w:tbl>
  <w:p w14:paraId="41A8267A" w14:textId="77777777" w:rsidR="006C3500" w:rsidRPr="00AC2EEB" w:rsidRDefault="006C3500" w:rsidP="00BD262D">
    <w:pPr>
      <w:pStyle w:val="Footer"/>
      <w:ind w:right="360"/>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4B5D84" w14:textId="77777777" w:rsidR="006C3500" w:rsidRDefault="006C3500" w:rsidP="00BD262D">
    <w:pPr>
      <w:pStyle w:val="Footer"/>
      <w:ind w:right="360"/>
      <w:rPr>
        <w:lang w:val="en-GB"/>
      </w:rPr>
    </w:pPr>
  </w:p>
  <w:tbl>
    <w:tblPr>
      <w:tblW w:w="5000" w:type="pct"/>
      <w:tblBorders>
        <w:top w:val="single" w:sz="4" w:space="0" w:color="auto"/>
      </w:tblBorders>
      <w:tblLook w:val="01E0" w:firstRow="1" w:lastRow="1" w:firstColumn="1" w:lastColumn="1" w:noHBand="0" w:noVBand="0"/>
    </w:tblPr>
    <w:tblGrid>
      <w:gridCol w:w="2459"/>
      <w:gridCol w:w="6567"/>
    </w:tblGrid>
    <w:tr w:rsidR="006C3500" w:rsidRPr="00340E44" w14:paraId="0964B26B" w14:textId="77777777">
      <w:tc>
        <w:tcPr>
          <w:tcW w:w="1362" w:type="pct"/>
        </w:tcPr>
        <w:p w14:paraId="064F566A" w14:textId="77777777" w:rsidR="006C3500" w:rsidRPr="007E4F06" w:rsidRDefault="006C3500" w:rsidP="00666448">
          <w:pPr>
            <w:tabs>
              <w:tab w:val="left" w:pos="1212"/>
            </w:tabs>
            <w:ind w:right="360"/>
            <w:rPr>
              <w:i/>
              <w:sz w:val="18"/>
              <w:lang w:val="en-GB"/>
            </w:rPr>
          </w:pPr>
          <w:r>
            <w:rPr>
              <w:i/>
              <w:sz w:val="18"/>
              <w:lang w:val="en-GB"/>
            </w:rPr>
            <w:t xml:space="preserve">Milieu Ltd </w:t>
          </w:r>
        </w:p>
        <w:p w14:paraId="2CB2E299" w14:textId="3BD1DFA1" w:rsidR="006C3500" w:rsidRPr="007E4F06" w:rsidRDefault="006C3500" w:rsidP="003C31B7">
          <w:pPr>
            <w:tabs>
              <w:tab w:val="center" w:pos="4153"/>
              <w:tab w:val="right" w:pos="8306"/>
            </w:tabs>
            <w:ind w:right="360"/>
            <w:rPr>
              <w:i/>
              <w:sz w:val="18"/>
              <w:lang w:val="en-GB"/>
            </w:rPr>
          </w:pPr>
          <w:r w:rsidRPr="007E4F06">
            <w:rPr>
              <w:i/>
              <w:sz w:val="18"/>
              <w:lang w:val="en-GB"/>
            </w:rPr>
            <w:t xml:space="preserve">Brussels, </w:t>
          </w:r>
          <w:r>
            <w:rPr>
              <w:i/>
              <w:sz w:val="18"/>
              <w:lang w:val="en-GB"/>
            </w:rPr>
            <w:t>March 2018</w:t>
          </w:r>
        </w:p>
      </w:tc>
      <w:tc>
        <w:tcPr>
          <w:tcW w:w="3638" w:type="pct"/>
        </w:tcPr>
        <w:p w14:paraId="65ABC300" w14:textId="1C638F94" w:rsidR="006C3500" w:rsidRPr="007E4F06" w:rsidRDefault="006C3500" w:rsidP="00136EE9">
          <w:pPr>
            <w:tabs>
              <w:tab w:val="center" w:pos="4153"/>
              <w:tab w:val="right" w:pos="8306"/>
            </w:tabs>
            <w:ind w:right="19"/>
            <w:jc w:val="right"/>
            <w:rPr>
              <w:i/>
              <w:sz w:val="18"/>
              <w:lang w:val="en-GB"/>
            </w:rPr>
          </w:pPr>
          <w:r w:rsidRPr="007E4F06">
            <w:rPr>
              <w:i/>
              <w:sz w:val="18"/>
              <w:lang w:val="en-GB"/>
            </w:rPr>
            <w:t xml:space="preserve">Deliverable B.I – Investors’ Citizenship Schemes in </w:t>
          </w:r>
          <w:r>
            <w:rPr>
              <w:i/>
              <w:sz w:val="18"/>
              <w:lang w:val="en-GB"/>
            </w:rPr>
            <w:t>Malta</w:t>
          </w:r>
          <w:r w:rsidRPr="007E4F06">
            <w:rPr>
              <w:i/>
              <w:sz w:val="18"/>
              <w:lang w:val="en-GB"/>
            </w:rPr>
            <w:t>/</w:t>
          </w:r>
          <w:r>
            <w:fldChar w:fldCharType="begin"/>
          </w:r>
          <w:r w:rsidRPr="00F2571F">
            <w:rPr>
              <w:lang w:val="en-GB"/>
            </w:rPr>
            <w:instrText xml:space="preserve"> PAGE   \* MERGEFORMAT </w:instrText>
          </w:r>
          <w:r>
            <w:fldChar w:fldCharType="separate"/>
          </w:r>
          <w:r w:rsidRPr="006E1898">
            <w:rPr>
              <w:i/>
              <w:noProof/>
              <w:sz w:val="18"/>
              <w:lang w:val="en-GB"/>
            </w:rPr>
            <w:t>26</w:t>
          </w:r>
          <w:r>
            <w:rPr>
              <w:i/>
              <w:noProof/>
              <w:sz w:val="18"/>
              <w:lang w:val="en-GB"/>
            </w:rPr>
            <w:fldChar w:fldCharType="end"/>
          </w:r>
        </w:p>
      </w:tc>
    </w:tr>
  </w:tbl>
  <w:p w14:paraId="771D570F" w14:textId="77777777" w:rsidR="006C3500" w:rsidRPr="00AC2EEB" w:rsidRDefault="006C3500" w:rsidP="00BD262D">
    <w:pPr>
      <w:pStyle w:val="Footer"/>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DF1C19" w14:textId="77777777" w:rsidR="004F7A5D" w:rsidRDefault="004F7A5D">
      <w:r>
        <w:separator/>
      </w:r>
    </w:p>
  </w:footnote>
  <w:footnote w:type="continuationSeparator" w:id="0">
    <w:p w14:paraId="08027608" w14:textId="77777777" w:rsidR="004F7A5D" w:rsidRDefault="004F7A5D">
      <w:r>
        <w:continuationSeparator/>
      </w:r>
    </w:p>
  </w:footnote>
  <w:footnote w:id="1">
    <w:p w14:paraId="084699B8" w14:textId="75365CC4" w:rsidR="006C3500" w:rsidRPr="007203A6" w:rsidRDefault="006C3500" w:rsidP="00006A61">
      <w:pPr>
        <w:pStyle w:val="FootnoteText"/>
        <w:rPr>
          <w:lang w:val="en-US"/>
        </w:rPr>
      </w:pPr>
      <w:r>
        <w:rPr>
          <w:rStyle w:val="FootnoteReference"/>
        </w:rPr>
        <w:footnoteRef/>
      </w:r>
      <w:r>
        <w:t xml:space="preserve"> </w:t>
      </w:r>
      <w:r>
        <w:rPr>
          <w:lang w:val="en-US"/>
        </w:rPr>
        <w:t xml:space="preserve"> Chapter 188 of the Laws of Malta, Maltese Citizenship Act, 21 September 1964, Act XXX of 1965 as last amended by Acts XV of 2103, XXIV of 2017 and XXVI of 2017: </w:t>
      </w:r>
      <w:hyperlink r:id="rId1" w:history="1">
        <w:r w:rsidRPr="0024546F">
          <w:rPr>
            <w:rStyle w:val="Hyperlink"/>
            <w:lang w:val="en-US"/>
          </w:rPr>
          <w:t>http://www.justiceservices.gov.mt/DownloadDocument.aspx?app=lom&amp;itemid=8702&amp;l=1</w:t>
        </w:r>
      </w:hyperlink>
      <w:r>
        <w:rPr>
          <w:lang w:val="en-US"/>
        </w:rPr>
        <w:t xml:space="preserve">. According to Article 22(1) of the Constitution of Malta, ‘[t]he </w:t>
      </w:r>
      <w:proofErr w:type="gramStart"/>
      <w:r>
        <w:rPr>
          <w:lang w:val="en-US"/>
        </w:rPr>
        <w:t>acquisition</w:t>
      </w:r>
      <w:proofErr w:type="gramEnd"/>
      <w:r>
        <w:rPr>
          <w:lang w:val="en-US"/>
        </w:rPr>
        <w:t xml:space="preserve">, possession, renunciation and loss of Maltese citizenship shall be regulated by law.’ The Constitution of Malta is available at: </w:t>
      </w:r>
      <w:hyperlink r:id="rId2" w:history="1">
        <w:r w:rsidRPr="0024546F">
          <w:rPr>
            <w:rStyle w:val="Hyperlink"/>
            <w:lang w:val="en-US"/>
          </w:rPr>
          <w:t>http://www.justiceservices.gov.mt/DownloadDocument.aspx?app=lom&amp;itemid=8566&amp;l=1</w:t>
        </w:r>
      </w:hyperlink>
      <w:r>
        <w:rPr>
          <w:lang w:val="en-US"/>
        </w:rPr>
        <w:t xml:space="preserve">. </w:t>
      </w:r>
    </w:p>
  </w:footnote>
  <w:footnote w:id="2">
    <w:p w14:paraId="45FD5A3C" w14:textId="47DB83B7" w:rsidR="006C3500" w:rsidRDefault="006C3500">
      <w:pPr>
        <w:pStyle w:val="FootnoteText"/>
      </w:pPr>
      <w:r>
        <w:rPr>
          <w:rStyle w:val="FootnoteReference"/>
        </w:rPr>
        <w:footnoteRef/>
      </w:r>
      <w:r>
        <w:t xml:space="preserve"> </w:t>
      </w:r>
      <w:r w:rsidRPr="00437890">
        <w:t xml:space="preserve">Legal Notice 450 of 2013, Individual Investor Programme of the Republic of Malta Regulations, 2013, </w:t>
      </w:r>
      <w:hyperlink r:id="rId3" w:history="1">
        <w:r w:rsidRPr="00437890">
          <w:rPr>
            <w:rStyle w:val="Hyperlink"/>
          </w:rPr>
          <w:t>http://justiceservices.gov.mt/DownloadDocument.aspx?app=lp&amp;itemid=25863&amp;l=1</w:t>
        </w:r>
      </w:hyperlink>
    </w:p>
  </w:footnote>
  <w:footnote w:id="3">
    <w:p w14:paraId="1783E0DE" w14:textId="7A5C364D" w:rsidR="006C3500" w:rsidRPr="004C2B66" w:rsidRDefault="006C3500" w:rsidP="00006A61">
      <w:pPr>
        <w:pStyle w:val="FootnoteText"/>
      </w:pPr>
      <w:r w:rsidRPr="004C2B66">
        <w:rPr>
          <w:rStyle w:val="FootnoteReference"/>
        </w:rPr>
        <w:footnoteRef/>
      </w:r>
      <w:r w:rsidRPr="004C2B66">
        <w:t xml:space="preserve"> </w:t>
      </w:r>
      <w:r>
        <w:t xml:space="preserve">Regulation 7 of Legal Notice 450 of 2013. </w:t>
      </w:r>
    </w:p>
  </w:footnote>
  <w:footnote w:id="4">
    <w:p w14:paraId="2D8566BB" w14:textId="215F6479" w:rsidR="006C3500" w:rsidRDefault="006C3500">
      <w:pPr>
        <w:pStyle w:val="FootnoteText"/>
      </w:pPr>
      <w:r>
        <w:rPr>
          <w:rStyle w:val="FootnoteReference"/>
        </w:rPr>
        <w:footnoteRef/>
      </w:r>
      <w:r>
        <w:t xml:space="preserve"> During a stakeholder consultation on 8 March 2018, Identity Malta representatives confirmed that the cap has not yet been reached.</w:t>
      </w:r>
    </w:p>
  </w:footnote>
  <w:footnote w:id="5">
    <w:p w14:paraId="395660E4" w14:textId="77777777" w:rsidR="006C3500" w:rsidRPr="004C2B66" w:rsidRDefault="006C3500" w:rsidP="00006A61">
      <w:pPr>
        <w:pStyle w:val="FootnoteText"/>
      </w:pPr>
      <w:r w:rsidRPr="004C2B66">
        <w:rPr>
          <w:rStyle w:val="FootnoteReference"/>
        </w:rPr>
        <w:footnoteRef/>
      </w:r>
      <w:r w:rsidRPr="004C2B66">
        <w:t xml:space="preserve"> European Parliament</w:t>
      </w:r>
      <w:r>
        <w:t xml:space="preserve"> Resolution 2013/2995(RSP), M.1: </w:t>
      </w:r>
      <w:hyperlink r:id="rId4" w:history="1">
        <w:r w:rsidRPr="006F0793">
          <w:rPr>
            <w:rStyle w:val="Hyperlink"/>
          </w:rPr>
          <w:t>http://www.europarl.europa.eu/sides/getDoc.do?pubRef=-//EP//TEXT+MOTION+P7-RC-2014-0015+0+DOC+XML+V0//EN</w:t>
        </w:r>
      </w:hyperlink>
      <w:r>
        <w:t xml:space="preserve">. </w:t>
      </w:r>
    </w:p>
  </w:footnote>
  <w:footnote w:id="6">
    <w:p w14:paraId="41CFE62A" w14:textId="77777777" w:rsidR="006C3500" w:rsidRPr="0083084C" w:rsidRDefault="006C3500" w:rsidP="00006A61">
      <w:pPr>
        <w:pStyle w:val="FootnoteText"/>
      </w:pPr>
      <w:r>
        <w:rPr>
          <w:rStyle w:val="FootnoteReference"/>
        </w:rPr>
        <w:footnoteRef/>
      </w:r>
      <w:r>
        <w:t xml:space="preserve"> Subsidiary Legislation 188.013, Individual Investor Programme of the Republic of Malta Regulations, 4 February 2014, Legal Notice 47 of 2014: </w:t>
      </w:r>
      <w:hyperlink r:id="rId5" w:history="1">
        <w:r w:rsidRPr="00746B11">
          <w:rPr>
            <w:rStyle w:val="Hyperlink"/>
          </w:rPr>
          <w:t>http://www.justiceservices.gov.mt/DownloadDocument.aspx?app=lom&amp;itemid=12141&amp;l=1</w:t>
        </w:r>
      </w:hyperlink>
      <w:r>
        <w:t xml:space="preserve">. </w:t>
      </w:r>
    </w:p>
  </w:footnote>
  <w:footnote w:id="7">
    <w:p w14:paraId="4462761A" w14:textId="77777777" w:rsidR="006C3500" w:rsidRPr="004C2B66" w:rsidRDefault="006C3500" w:rsidP="002D38BF">
      <w:pPr>
        <w:pStyle w:val="FootnoteText"/>
      </w:pPr>
      <w:r w:rsidRPr="004C2B66">
        <w:rPr>
          <w:rStyle w:val="FootnoteReference"/>
        </w:rPr>
        <w:footnoteRef/>
      </w:r>
      <w:r w:rsidRPr="004C2B66">
        <w:t xml:space="preserve"> </w:t>
      </w:r>
      <w:r>
        <w:t xml:space="preserve">Legal Notice 59 of 2014, </w:t>
      </w:r>
      <w:r w:rsidRPr="004C2B66">
        <w:t>Correction of Laws Order, 2014</w:t>
      </w:r>
      <w:r>
        <w:t xml:space="preserve"> (Legal Notice 47 of 2014): </w:t>
      </w:r>
      <w:hyperlink r:id="rId6" w:history="1">
        <w:r w:rsidRPr="006F0793">
          <w:rPr>
            <w:rStyle w:val="Hyperlink"/>
          </w:rPr>
          <w:t>http://justiceservices.gov.mt/DownloadDocument.aspx?app=lp&amp;itemid=25933&amp;l=1</w:t>
        </w:r>
      </w:hyperlink>
      <w:r>
        <w:t xml:space="preserve">. </w:t>
      </w:r>
    </w:p>
  </w:footnote>
  <w:footnote w:id="8">
    <w:p w14:paraId="0DF69BF4" w14:textId="77777777" w:rsidR="006C3500" w:rsidRPr="0083084C" w:rsidRDefault="006C3500">
      <w:pPr>
        <w:pStyle w:val="FootnoteText"/>
        <w:rPr>
          <w:lang w:val="en-US"/>
        </w:rPr>
      </w:pPr>
      <w:r>
        <w:rPr>
          <w:rStyle w:val="FootnoteReference"/>
        </w:rPr>
        <w:footnoteRef/>
      </w:r>
      <w:r>
        <w:t xml:space="preserve"> </w:t>
      </w:r>
      <w:r>
        <w:rPr>
          <w:lang w:val="en-US"/>
        </w:rPr>
        <w:t xml:space="preserve">Subsidiary Legislation 188.01, Citizenship Regulations, 1 August 1989, Legal Notice 106 of 1989 as last amended by Legal Notices 17 and 63 of 2014 and Act XIII of 2015: </w:t>
      </w:r>
      <w:hyperlink r:id="rId7" w:history="1">
        <w:r w:rsidRPr="0024546F">
          <w:rPr>
            <w:rStyle w:val="Hyperlink"/>
            <w:lang w:val="en-US"/>
          </w:rPr>
          <w:t>http://www.justiceservices.gov.mt/DownloadDocument.aspx?app=lom&amp;itemid=9536&amp;l=1</w:t>
        </w:r>
      </w:hyperlink>
      <w:r>
        <w:rPr>
          <w:lang w:val="en-US"/>
        </w:rPr>
        <w:t>.</w:t>
      </w:r>
    </w:p>
  </w:footnote>
  <w:footnote w:id="9">
    <w:p w14:paraId="48C98EFF" w14:textId="77777777" w:rsidR="006C3500" w:rsidRPr="004C2B66" w:rsidRDefault="006C3500" w:rsidP="00006A61">
      <w:pPr>
        <w:pStyle w:val="FootnoteText"/>
      </w:pPr>
      <w:r w:rsidRPr="004C2B66">
        <w:rPr>
          <w:rStyle w:val="FootnoteReference"/>
        </w:rPr>
        <w:footnoteRef/>
      </w:r>
      <w:r w:rsidRPr="004C2B66">
        <w:t xml:space="preserve"> </w:t>
      </w:r>
      <w:r>
        <w:t xml:space="preserve">Legal Notice 63 of 2014, </w:t>
      </w:r>
      <w:r w:rsidRPr="004C2B66">
        <w:t>Citizenship (Amendment No. 2) Regulations, 2014</w:t>
      </w:r>
      <w:r>
        <w:t xml:space="preserve">: </w:t>
      </w:r>
      <w:hyperlink r:id="rId8" w:history="1">
        <w:r w:rsidRPr="006F0793">
          <w:rPr>
            <w:rStyle w:val="Hyperlink"/>
          </w:rPr>
          <w:t>http://justiceservices.gov.mt/DownloadDocument.aspx?app=lp&amp;itemid=25937&amp;l=1</w:t>
        </w:r>
      </w:hyperlink>
      <w:r>
        <w:t xml:space="preserve">. </w:t>
      </w:r>
    </w:p>
  </w:footnote>
  <w:footnote w:id="10">
    <w:p w14:paraId="2E2A20A3" w14:textId="14B56DE0" w:rsidR="006C3500" w:rsidRDefault="006C3500">
      <w:pPr>
        <w:pStyle w:val="FootnoteText"/>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w:t>
      </w:r>
      <w:r>
        <w:t xml:space="preserve">30th June 2017), November 2017: </w:t>
      </w:r>
      <w:hyperlink r:id="rId9" w:history="1">
        <w:r w:rsidRPr="006F0793">
          <w:rPr>
            <w:rStyle w:val="Hyperlink"/>
          </w:rPr>
          <w:t>https://oriip.gov.mt/en/Documents/Reports/Annual%20Report%202017.pdf</w:t>
        </w:r>
      </w:hyperlink>
      <w:r>
        <w:t xml:space="preserve">; </w:t>
      </w:r>
      <w:r>
        <w:rPr>
          <w:lang w:val="en-US"/>
        </w:rPr>
        <w:t>stakeholder consultation with Identity Malta representatives on 8 March 2018.</w:t>
      </w:r>
    </w:p>
  </w:footnote>
  <w:footnote w:id="11">
    <w:p w14:paraId="777F9EAE" w14:textId="77777777" w:rsidR="006C3500" w:rsidRPr="00F2571F" w:rsidRDefault="006C3500" w:rsidP="00006A61">
      <w:pPr>
        <w:pStyle w:val="FootnoteText"/>
        <w:rPr>
          <w:lang w:val="fi-FI"/>
        </w:rPr>
      </w:pPr>
      <w:r w:rsidRPr="004C2B66">
        <w:rPr>
          <w:rStyle w:val="FootnoteReference"/>
        </w:rPr>
        <w:footnoteRef/>
      </w:r>
      <w:r w:rsidRPr="00F2571F">
        <w:rPr>
          <w:lang w:val="fi-FI"/>
        </w:rPr>
        <w:t xml:space="preserve"> Identity Malta </w:t>
      </w:r>
      <w:proofErr w:type="spellStart"/>
      <w:r w:rsidRPr="00F2571F">
        <w:rPr>
          <w:lang w:val="fi-FI"/>
        </w:rPr>
        <w:t>website</w:t>
      </w:r>
      <w:proofErr w:type="spellEnd"/>
      <w:r w:rsidRPr="00F2571F">
        <w:rPr>
          <w:lang w:val="fi-FI"/>
        </w:rPr>
        <w:t xml:space="preserve">: </w:t>
      </w:r>
      <w:hyperlink r:id="rId10" w:history="1">
        <w:r w:rsidRPr="00F2571F">
          <w:rPr>
            <w:rStyle w:val="Hyperlink"/>
            <w:lang w:val="fi-FI"/>
          </w:rPr>
          <w:t>http://iip.gov.mt/</w:t>
        </w:r>
      </w:hyperlink>
      <w:r w:rsidRPr="00F2571F">
        <w:rPr>
          <w:lang w:val="fi-FI"/>
        </w:rPr>
        <w:t xml:space="preserve">. </w:t>
      </w:r>
    </w:p>
  </w:footnote>
  <w:footnote w:id="12">
    <w:p w14:paraId="75F77570" w14:textId="08E62ADA" w:rsidR="006C3500" w:rsidRPr="009D0459" w:rsidRDefault="006C3500" w:rsidP="00006A61">
      <w:pPr>
        <w:pStyle w:val="FootnoteText"/>
        <w:rPr>
          <w:lang w:val="en-US"/>
        </w:rPr>
      </w:pPr>
      <w:r>
        <w:rPr>
          <w:rStyle w:val="FootnoteReference"/>
        </w:rPr>
        <w:footnoteRef/>
      </w:r>
      <w:r>
        <w:t xml:space="preserve"> Subsidiary Legislation 497.07, Identity Malta Agency (Establishment) Order, 10 September 2103, Legal Notice 269 of 2013, as amended by Legal Notices 101 of 2016 and 95 of 2018: </w:t>
      </w:r>
      <w:hyperlink r:id="rId11" w:history="1">
        <w:r w:rsidRPr="00F75FF9">
          <w:rPr>
            <w:rStyle w:val="Hyperlink"/>
          </w:rPr>
          <w:t>http://www.justiceservices.gov.mt/DownloadDocument.aspx?app=lom&amp;itemid=12096&amp;l=1</w:t>
        </w:r>
      </w:hyperlink>
      <w:r>
        <w:t xml:space="preserve">. </w:t>
      </w:r>
    </w:p>
  </w:footnote>
  <w:footnote w:id="13">
    <w:p w14:paraId="3161502F" w14:textId="77777777" w:rsidR="006C3500" w:rsidRPr="009D0459" w:rsidRDefault="006C3500" w:rsidP="00006A61">
      <w:pPr>
        <w:pStyle w:val="FootnoteText"/>
        <w:rPr>
          <w:lang w:val="en-US"/>
        </w:rPr>
      </w:pPr>
      <w:r>
        <w:rPr>
          <w:rStyle w:val="FootnoteReference"/>
        </w:rPr>
        <w:footnoteRef/>
      </w:r>
      <w:r>
        <w:t xml:space="preserve"> </w:t>
      </w:r>
      <w:r w:rsidRPr="004257C3">
        <w:rPr>
          <w:lang w:val="en-US"/>
        </w:rPr>
        <w:t>Article 3(1) of LN 269/2013.</w:t>
      </w:r>
    </w:p>
  </w:footnote>
  <w:footnote w:id="14">
    <w:p w14:paraId="7D4DF6B5" w14:textId="77F54524" w:rsidR="006C3500" w:rsidRPr="00C3570B" w:rsidRDefault="006C3500" w:rsidP="00006A61">
      <w:pPr>
        <w:pStyle w:val="FootnoteText"/>
        <w:rPr>
          <w:lang w:val="en-US"/>
        </w:rPr>
      </w:pPr>
      <w:r>
        <w:rPr>
          <w:rStyle w:val="FootnoteReference"/>
        </w:rPr>
        <w:footnoteRef/>
      </w:r>
      <w:r>
        <w:t xml:space="preserve"> </w:t>
      </w:r>
      <w:r>
        <w:rPr>
          <w:lang w:val="en-US"/>
        </w:rPr>
        <w:t xml:space="preserve">Chapter 497 of the Laws of Malta, Public Administration Act, 27 November 2009, Act I of 2009 as last amended by Legal Notice 243 of 2017, Act II of 2018 and Legal Notice 96 of 2018: </w:t>
      </w:r>
      <w:r w:rsidRPr="00001B8D">
        <w:t>http://www.justiceservices.gov.mt/DownloadDocument.aspx?app=lom&amp;itemid=8963&amp;l=1</w:t>
      </w:r>
      <w:r>
        <w:t>.</w:t>
      </w:r>
    </w:p>
  </w:footnote>
  <w:footnote w:id="15">
    <w:p w14:paraId="32FE8394" w14:textId="77777777" w:rsidR="006C3500" w:rsidRPr="009D0459" w:rsidRDefault="006C3500" w:rsidP="00006A61">
      <w:pPr>
        <w:pStyle w:val="FootnoteText"/>
        <w:rPr>
          <w:lang w:val="en-US"/>
        </w:rPr>
      </w:pPr>
      <w:r>
        <w:rPr>
          <w:rStyle w:val="FootnoteReference"/>
        </w:rPr>
        <w:footnoteRef/>
      </w:r>
      <w:r>
        <w:t xml:space="preserve"> </w:t>
      </w:r>
      <w:r>
        <w:rPr>
          <w:lang w:val="en-US"/>
        </w:rPr>
        <w:t>Article 4 of LN 269/2013.</w:t>
      </w:r>
    </w:p>
  </w:footnote>
  <w:footnote w:id="16">
    <w:p w14:paraId="04EF22F7" w14:textId="61E9DD36" w:rsidR="006C3500" w:rsidRDefault="006C3500">
      <w:pPr>
        <w:pStyle w:val="FootnoteText"/>
      </w:pPr>
      <w:r>
        <w:rPr>
          <w:rStyle w:val="FootnoteReference"/>
        </w:rPr>
        <w:footnoteRef/>
      </w:r>
      <w:r>
        <w:t xml:space="preserve"> Article 3(1) of LN 269/2013.</w:t>
      </w:r>
    </w:p>
  </w:footnote>
  <w:footnote w:id="17">
    <w:p w14:paraId="1CA6BB04" w14:textId="0667D107" w:rsidR="006C3500" w:rsidRDefault="006C3500">
      <w:pPr>
        <w:pStyle w:val="FootnoteText"/>
      </w:pPr>
      <w:r>
        <w:rPr>
          <w:rStyle w:val="FootnoteReference"/>
        </w:rPr>
        <w:footnoteRef/>
      </w:r>
      <w:r>
        <w:t xml:space="preserve"> Identity Malta Agency (Establishment) (Amendment) Order, 29 March 2018, Legal Notice 95 of 2018: </w:t>
      </w:r>
      <w:hyperlink r:id="rId12" w:history="1">
        <w:r w:rsidRPr="00F75FF9">
          <w:rPr>
            <w:rStyle w:val="Hyperlink"/>
          </w:rPr>
          <w:t>http://justiceservices.gov.mt/DownloadDocument.aspx?app=lp&amp;itemid=28992&amp;l=1</w:t>
        </w:r>
      </w:hyperlink>
      <w:r>
        <w:t>.</w:t>
      </w:r>
    </w:p>
  </w:footnote>
  <w:footnote w:id="18">
    <w:p w14:paraId="798F6630" w14:textId="7F9FC08F" w:rsidR="006C3500" w:rsidRDefault="006C3500">
      <w:pPr>
        <w:pStyle w:val="FootnoteText"/>
      </w:pPr>
      <w:r>
        <w:rPr>
          <w:rStyle w:val="FootnoteReference"/>
        </w:rPr>
        <w:footnoteRef/>
      </w:r>
      <w:r>
        <w:t xml:space="preserve"> Article 8(1 and (4) of LN 269/2013.</w:t>
      </w:r>
    </w:p>
  </w:footnote>
  <w:footnote w:id="19">
    <w:p w14:paraId="77FF60F2" w14:textId="2807AF5E" w:rsidR="006C3500" w:rsidRDefault="006C3500">
      <w:pPr>
        <w:pStyle w:val="FootnoteText"/>
      </w:pPr>
      <w:r>
        <w:rPr>
          <w:rStyle w:val="FootnoteReference"/>
        </w:rPr>
        <w:footnoteRef/>
      </w:r>
      <w:r>
        <w:t xml:space="preserve"> Article 8(2) and (3) of LN 269/2013.</w:t>
      </w:r>
    </w:p>
  </w:footnote>
  <w:footnote w:id="20">
    <w:p w14:paraId="327856EB" w14:textId="387FA574" w:rsidR="006C3500" w:rsidRDefault="006C3500">
      <w:pPr>
        <w:pStyle w:val="FootnoteText"/>
      </w:pPr>
      <w:r>
        <w:rPr>
          <w:rStyle w:val="FootnoteReference"/>
        </w:rPr>
        <w:footnoteRef/>
      </w:r>
      <w:r>
        <w:t xml:space="preserve"> Article 9(1) and (2) of LN 269/2013.</w:t>
      </w:r>
    </w:p>
  </w:footnote>
  <w:footnote w:id="21">
    <w:p w14:paraId="0B7E378B" w14:textId="22302806" w:rsidR="006C3500" w:rsidRDefault="006C3500">
      <w:pPr>
        <w:pStyle w:val="FootnoteText"/>
      </w:pPr>
      <w:r>
        <w:rPr>
          <w:rStyle w:val="FootnoteReference"/>
        </w:rPr>
        <w:footnoteRef/>
      </w:r>
      <w:r>
        <w:t xml:space="preserve"> Articles 9(3) and 10 of LN 269/2013.</w:t>
      </w:r>
    </w:p>
  </w:footnote>
  <w:footnote w:id="22">
    <w:p w14:paraId="0BE4D77A" w14:textId="52DBB065" w:rsidR="006C3500" w:rsidRDefault="006C3500">
      <w:pPr>
        <w:pStyle w:val="FootnoteText"/>
      </w:pPr>
      <w:r>
        <w:rPr>
          <w:rStyle w:val="FootnoteReference"/>
        </w:rPr>
        <w:footnoteRef/>
      </w:r>
      <w:r>
        <w:t xml:space="preserve"> Subsidiary Legislation 497.25, Malta Individual Investor Programme Agency (Establishment) Order, 29 March 2018, Legal Notice 96 of 2018: </w:t>
      </w:r>
      <w:r w:rsidRPr="005F42FB">
        <w:t>http://www.justiceservices.gov.mt/DownloadDocument.aspx?app=lom&amp;itemid=12809&amp;l=1</w:t>
      </w:r>
      <w:r>
        <w:t>.</w:t>
      </w:r>
    </w:p>
  </w:footnote>
  <w:footnote w:id="23">
    <w:p w14:paraId="2CD3CCB3" w14:textId="053D3A85" w:rsidR="006C3500" w:rsidRDefault="006C3500">
      <w:pPr>
        <w:pStyle w:val="FootnoteText"/>
      </w:pPr>
      <w:r>
        <w:rPr>
          <w:rStyle w:val="FootnoteReference"/>
        </w:rPr>
        <w:footnoteRef/>
      </w:r>
      <w:r>
        <w:t xml:space="preserve"> Article 3 of LN 96/2018.</w:t>
      </w:r>
    </w:p>
  </w:footnote>
  <w:footnote w:id="24">
    <w:p w14:paraId="6BB194F2" w14:textId="0ED46541" w:rsidR="006C3500" w:rsidRDefault="006C3500">
      <w:pPr>
        <w:pStyle w:val="FootnoteText"/>
      </w:pPr>
      <w:r>
        <w:rPr>
          <w:rStyle w:val="FootnoteReference"/>
        </w:rPr>
        <w:footnoteRef/>
      </w:r>
      <w:r>
        <w:t xml:space="preserve"> Article 4 of LN 96/2018.</w:t>
      </w:r>
    </w:p>
  </w:footnote>
  <w:footnote w:id="25">
    <w:p w14:paraId="64D32449" w14:textId="45429B8F" w:rsidR="006C3500" w:rsidRDefault="006C3500">
      <w:pPr>
        <w:pStyle w:val="FootnoteText"/>
      </w:pPr>
      <w:r>
        <w:rPr>
          <w:rStyle w:val="FootnoteReference"/>
        </w:rPr>
        <w:footnoteRef/>
      </w:r>
      <w:r>
        <w:t xml:space="preserve"> Article 6(1) of LN 96/2018.</w:t>
      </w:r>
    </w:p>
  </w:footnote>
  <w:footnote w:id="26">
    <w:p w14:paraId="41CC3F12" w14:textId="204C0CEE" w:rsidR="006C3500" w:rsidRDefault="006C3500">
      <w:pPr>
        <w:pStyle w:val="FootnoteText"/>
      </w:pPr>
      <w:r>
        <w:rPr>
          <w:rStyle w:val="FootnoteReference"/>
        </w:rPr>
        <w:footnoteRef/>
      </w:r>
      <w:r>
        <w:t xml:space="preserve"> Article 6(2) of LN 96/2018.</w:t>
      </w:r>
    </w:p>
  </w:footnote>
  <w:footnote w:id="27">
    <w:p w14:paraId="42D868A2" w14:textId="45614A13" w:rsidR="006C3500" w:rsidRDefault="006C3500">
      <w:pPr>
        <w:pStyle w:val="FootnoteText"/>
      </w:pPr>
      <w:r>
        <w:rPr>
          <w:rStyle w:val="FootnoteReference"/>
        </w:rPr>
        <w:footnoteRef/>
      </w:r>
      <w:r>
        <w:t xml:space="preserve"> Article 7(1) and (2) of LN 96/2018.</w:t>
      </w:r>
    </w:p>
  </w:footnote>
  <w:footnote w:id="28">
    <w:p w14:paraId="5663C769" w14:textId="57FE0E58" w:rsidR="006C3500" w:rsidRDefault="006C3500" w:rsidP="00261841">
      <w:pPr>
        <w:pStyle w:val="FootnoteText"/>
      </w:pPr>
      <w:r>
        <w:rPr>
          <w:rStyle w:val="FootnoteReference"/>
        </w:rPr>
        <w:footnoteRef/>
      </w:r>
      <w:r>
        <w:t xml:space="preserve"> Article 7(3) and (4) of LN 95/2018.</w:t>
      </w:r>
    </w:p>
  </w:footnote>
  <w:footnote w:id="29">
    <w:p w14:paraId="690A8820" w14:textId="77777777" w:rsidR="006C3500" w:rsidRPr="003C659D" w:rsidRDefault="006C3500" w:rsidP="00006A61">
      <w:pPr>
        <w:pStyle w:val="FootnoteText"/>
        <w:rPr>
          <w:lang w:val="en-US"/>
        </w:rPr>
      </w:pPr>
      <w:r>
        <w:rPr>
          <w:rStyle w:val="FootnoteReference"/>
        </w:rPr>
        <w:footnoteRef/>
      </w:r>
      <w:r>
        <w:t xml:space="preserve"> </w:t>
      </w:r>
      <w:r>
        <w:rPr>
          <w:lang w:val="en-US"/>
        </w:rPr>
        <w:t>Regulation 2 of LN 47/2014 defines ‘contribution’ as ‘a contribution paid under these regulations seventy per cent of which shall be paid to the National Development and Social Fund, in accordance with these regulations’.</w:t>
      </w:r>
    </w:p>
  </w:footnote>
  <w:footnote w:id="30">
    <w:p w14:paraId="541518C7" w14:textId="77777777" w:rsidR="006C3500" w:rsidRPr="003C659D" w:rsidRDefault="006C3500" w:rsidP="00006A61">
      <w:pPr>
        <w:pStyle w:val="FootnoteText"/>
        <w:rPr>
          <w:lang w:val="en-US"/>
        </w:rPr>
      </w:pPr>
      <w:r>
        <w:rPr>
          <w:rStyle w:val="FootnoteReference"/>
        </w:rPr>
        <w:footnoteRef/>
      </w:r>
      <w:r>
        <w:t xml:space="preserve"> </w:t>
      </w:r>
      <w:r>
        <w:rPr>
          <w:lang w:val="en-US"/>
        </w:rPr>
        <w:t>As per the definition of ‘application requirements’ in Regulation 2 of LN 47/2014.</w:t>
      </w:r>
    </w:p>
  </w:footnote>
  <w:footnote w:id="31">
    <w:p w14:paraId="48646C60" w14:textId="77777777" w:rsidR="006C3500" w:rsidRPr="00E7150C" w:rsidRDefault="006C3500" w:rsidP="00006A61">
      <w:pPr>
        <w:pStyle w:val="FootnoteText"/>
        <w:rPr>
          <w:bCs/>
        </w:rPr>
      </w:pPr>
      <w:r>
        <w:rPr>
          <w:rStyle w:val="FootnoteReference"/>
        </w:rPr>
        <w:footnoteRef/>
      </w:r>
      <w:r>
        <w:t xml:space="preserve"> </w:t>
      </w:r>
      <w:r>
        <w:rPr>
          <w:lang w:val="en-US"/>
        </w:rPr>
        <w:t xml:space="preserve">Regulation 4(1) of LN 47/2014. </w:t>
      </w:r>
      <w:r w:rsidRPr="00570AE2">
        <w:rPr>
          <w:bCs/>
        </w:rPr>
        <w:t>Beneficiaries of the Global Residence Programme under the Income Tax Act can apply for the IIP subject to satisfying all additional eligibility requirements of the Programme.</w:t>
      </w:r>
    </w:p>
  </w:footnote>
  <w:footnote w:id="32">
    <w:p w14:paraId="4F9E6FCC" w14:textId="77777777" w:rsidR="006C3500" w:rsidRPr="00E7150C" w:rsidRDefault="006C3500" w:rsidP="00006A61">
      <w:pPr>
        <w:pStyle w:val="FootnoteText"/>
        <w:rPr>
          <w:lang w:val="en-US"/>
        </w:rPr>
      </w:pPr>
      <w:r>
        <w:rPr>
          <w:rStyle w:val="FootnoteReference"/>
        </w:rPr>
        <w:footnoteRef/>
      </w:r>
      <w:r>
        <w:t xml:space="preserve"> Identity Malta Agency, ‘Malta Individual Investor Programme Checklist and Guidelines’, Version 2.0 – 2015, p. 3: </w:t>
      </w:r>
      <w:hyperlink r:id="rId13" w:history="1">
        <w:r w:rsidRPr="007A380C">
          <w:rPr>
            <w:rStyle w:val="Hyperlink"/>
          </w:rPr>
          <w:t>http://iip.gov.mt/wp-content/uploads/2014/02/MIIP-Checklist-and-Guidelines-V2-1.pdf</w:t>
        </w:r>
      </w:hyperlink>
      <w:r>
        <w:t xml:space="preserve">. </w:t>
      </w:r>
    </w:p>
  </w:footnote>
  <w:footnote w:id="33">
    <w:p w14:paraId="5B9845FE" w14:textId="4F9C5CC1" w:rsidR="006C3500" w:rsidRPr="00061E9E" w:rsidRDefault="006C3500">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34">
    <w:p w14:paraId="0C33C58C" w14:textId="77777777" w:rsidR="006C3500" w:rsidRPr="00417ED8" w:rsidRDefault="006C3500" w:rsidP="00006A61">
      <w:pPr>
        <w:pStyle w:val="FootnoteText"/>
        <w:rPr>
          <w:lang w:val="en-US"/>
        </w:rPr>
      </w:pPr>
      <w:r>
        <w:rPr>
          <w:rStyle w:val="FootnoteReference"/>
        </w:rPr>
        <w:footnoteRef/>
      </w:r>
      <w:r>
        <w:t xml:space="preserve"> Identity Malta Agency, ‘Malta Individual Investor Programme Checklist and Guidelines’, Version 2.0 – 2015, p. 3: </w:t>
      </w:r>
      <w:hyperlink r:id="rId14" w:history="1">
        <w:r w:rsidRPr="007A380C">
          <w:rPr>
            <w:rStyle w:val="Hyperlink"/>
          </w:rPr>
          <w:t>http://iip.gov.mt/wp-content/uploads/2014/02/MIIP-Checklist-and-Guidelines-V2-1.pdf</w:t>
        </w:r>
      </w:hyperlink>
      <w:r>
        <w:t>.</w:t>
      </w:r>
    </w:p>
  </w:footnote>
  <w:footnote w:id="35">
    <w:p w14:paraId="392E3692" w14:textId="77777777" w:rsidR="006C3500" w:rsidRPr="003F5502" w:rsidRDefault="006C3500" w:rsidP="00006A61">
      <w:pPr>
        <w:pStyle w:val="FootnoteText"/>
        <w:rPr>
          <w:lang w:val="en-US"/>
        </w:rPr>
      </w:pPr>
      <w:r>
        <w:rPr>
          <w:rStyle w:val="FootnoteReference"/>
        </w:rPr>
        <w:footnoteRef/>
      </w:r>
      <w:r>
        <w:t xml:space="preserve"> Available at: </w:t>
      </w:r>
      <w:hyperlink r:id="rId15" w:history="1">
        <w:r w:rsidRPr="007A380C">
          <w:rPr>
            <w:rStyle w:val="Hyperlink"/>
          </w:rPr>
          <w:t>http://iip.gov.mt/wp-content/uploads/2014/01/Form-N-Main-Applicant.pdf</w:t>
        </w:r>
      </w:hyperlink>
    </w:p>
  </w:footnote>
  <w:footnote w:id="36">
    <w:p w14:paraId="3CF0470C" w14:textId="77777777" w:rsidR="006C3500" w:rsidRPr="003F5502" w:rsidRDefault="006C3500" w:rsidP="00006A61">
      <w:pPr>
        <w:pStyle w:val="FootnoteText"/>
        <w:rPr>
          <w:lang w:val="en-US"/>
        </w:rPr>
      </w:pPr>
      <w:r>
        <w:rPr>
          <w:rStyle w:val="FootnoteReference"/>
        </w:rPr>
        <w:footnoteRef/>
      </w:r>
      <w:r>
        <w:t xml:space="preserve"> Available at: </w:t>
      </w:r>
      <w:hyperlink r:id="rId16" w:history="1">
        <w:r w:rsidRPr="007A380C">
          <w:rPr>
            <w:rStyle w:val="Hyperlink"/>
          </w:rPr>
          <w:t>http://iip.gov.mt/wp-content/uploads/2014/01/Form-O.pdf</w:t>
        </w:r>
      </w:hyperlink>
      <w:r>
        <w:t xml:space="preserve"> </w:t>
      </w:r>
    </w:p>
  </w:footnote>
  <w:footnote w:id="37">
    <w:p w14:paraId="68E26030" w14:textId="77777777" w:rsidR="006C3500" w:rsidRPr="003F5502" w:rsidRDefault="006C3500" w:rsidP="00006A61">
      <w:pPr>
        <w:pStyle w:val="FootnoteText"/>
        <w:rPr>
          <w:lang w:val="en-US"/>
        </w:rPr>
      </w:pPr>
      <w:r>
        <w:rPr>
          <w:rStyle w:val="FootnoteReference"/>
        </w:rPr>
        <w:footnoteRef/>
      </w:r>
      <w:r>
        <w:t xml:space="preserve"> Available at: </w:t>
      </w:r>
      <w:hyperlink r:id="rId17" w:history="1">
        <w:r w:rsidRPr="007A380C">
          <w:rPr>
            <w:rStyle w:val="Hyperlink"/>
          </w:rPr>
          <w:t>http://iip.gov.mt/wp-content/uploads/2014/01/Form-P-Minor-Dependent1.pdf</w:t>
        </w:r>
      </w:hyperlink>
      <w:r>
        <w:t xml:space="preserve"> </w:t>
      </w:r>
    </w:p>
  </w:footnote>
  <w:footnote w:id="38">
    <w:p w14:paraId="4F91008E" w14:textId="77777777" w:rsidR="006C3500" w:rsidRPr="00441EAB" w:rsidRDefault="006C3500" w:rsidP="00006A61">
      <w:pPr>
        <w:pStyle w:val="FootnoteText"/>
        <w:rPr>
          <w:lang w:val="en-US"/>
        </w:rPr>
      </w:pPr>
      <w:r>
        <w:rPr>
          <w:rStyle w:val="FootnoteReference"/>
        </w:rPr>
        <w:footnoteRef/>
      </w:r>
      <w:r>
        <w:t xml:space="preserve"> </w:t>
      </w:r>
      <w:r>
        <w:rPr>
          <w:lang w:val="en-US"/>
        </w:rPr>
        <w:t>Regulation 4(6) of LN 47/2014.</w:t>
      </w:r>
    </w:p>
  </w:footnote>
  <w:footnote w:id="39">
    <w:p w14:paraId="6EAB9131" w14:textId="725408CB" w:rsidR="006C3500" w:rsidRPr="003F5744" w:rsidRDefault="006C3500" w:rsidP="00890A3C">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40">
    <w:p w14:paraId="08CF2FBD" w14:textId="77777777" w:rsidR="006C3500" w:rsidRPr="008A4EB1" w:rsidRDefault="006C3500" w:rsidP="00006A61">
      <w:pPr>
        <w:pStyle w:val="FootnoteText"/>
        <w:rPr>
          <w:bCs/>
        </w:rPr>
      </w:pPr>
      <w:r>
        <w:rPr>
          <w:rStyle w:val="FootnoteReference"/>
        </w:rPr>
        <w:footnoteRef/>
      </w:r>
      <w:r>
        <w:t xml:space="preserve"> </w:t>
      </w:r>
      <w:r>
        <w:rPr>
          <w:lang w:val="en-US"/>
        </w:rPr>
        <w:t xml:space="preserve">Regulation 2 of LN 47/2014 defines ‘certified copy’ as ‘ a photocopy of an original document certified by a duly licensed lawyer, or notary public, a Maltese consular or diplomatic officer or a senior officer of the concessionaire to be a true copy of the original’. According to </w:t>
      </w:r>
      <w:r>
        <w:rPr>
          <w:bCs/>
        </w:rPr>
        <w:t xml:space="preserve">Regulation 7(3) of LN 47/2014, where a lawyer or notary </w:t>
      </w:r>
      <w:r w:rsidRPr="008A4EB1">
        <w:rPr>
          <w:bCs/>
        </w:rPr>
        <w:t>certifies a document to be a true copy of the original, that doc</w:t>
      </w:r>
      <w:r>
        <w:rPr>
          <w:bCs/>
        </w:rPr>
        <w:t xml:space="preserve">ument must be authenticated by (a) </w:t>
      </w:r>
      <w:r w:rsidRPr="008A4EB1">
        <w:rPr>
          <w:bCs/>
        </w:rPr>
        <w:t>an apostille in accordance with the provisions of the Hague Convention of 5 October 1961 abolishing the Requirement for Legislation for Foreign Public Documents, in the case of a jurisdiction that is a party to that Convention; or</w:t>
      </w:r>
      <w:r>
        <w:rPr>
          <w:bCs/>
        </w:rPr>
        <w:t xml:space="preserve"> (b) </w:t>
      </w:r>
      <w:r w:rsidRPr="008A4EB1">
        <w:rPr>
          <w:bCs/>
        </w:rPr>
        <w:t>a validation of the certificate of the lawyer or notary by the appropriate government department in the case of a jurisdiction that is not a party to that Convention; or</w:t>
      </w:r>
      <w:r>
        <w:rPr>
          <w:bCs/>
        </w:rPr>
        <w:t xml:space="preserve"> (c) </w:t>
      </w:r>
      <w:r w:rsidRPr="008A4EB1">
        <w:rPr>
          <w:bCs/>
        </w:rPr>
        <w:t>a validation of the certificate by a Maltese consular or diplomatic representation in the case of a jurisdiction that is not a party to that Convention.</w:t>
      </w:r>
    </w:p>
  </w:footnote>
  <w:footnote w:id="41">
    <w:p w14:paraId="0F672B92" w14:textId="77777777" w:rsidR="006C3500" w:rsidRPr="00C2002C" w:rsidRDefault="006C3500" w:rsidP="00006A61">
      <w:pPr>
        <w:pStyle w:val="FootnoteText"/>
        <w:rPr>
          <w:lang w:val="en-US"/>
        </w:rPr>
      </w:pPr>
      <w:r>
        <w:rPr>
          <w:rStyle w:val="FootnoteReference"/>
        </w:rPr>
        <w:footnoteRef/>
      </w:r>
      <w:r>
        <w:t xml:space="preserve"> </w:t>
      </w:r>
      <w:r>
        <w:rPr>
          <w:lang w:val="en-US"/>
        </w:rPr>
        <w:t>Regulation 2 of LN 47/2014 defines ‘police certificate’ as ‘a certificate of conduct, report or statement from a national law enforcement authority or other public authority in charge of criminal records on the status of an applicant’s criminal record’.</w:t>
      </w:r>
    </w:p>
  </w:footnote>
  <w:footnote w:id="42">
    <w:p w14:paraId="03FF4594" w14:textId="77777777" w:rsidR="006C3500" w:rsidRPr="00E16069" w:rsidRDefault="006C3500" w:rsidP="00006A61">
      <w:pPr>
        <w:pStyle w:val="FootnoteText"/>
        <w:rPr>
          <w:lang w:val="en-US"/>
        </w:rPr>
      </w:pPr>
      <w:r>
        <w:rPr>
          <w:rStyle w:val="FootnoteReference"/>
        </w:rPr>
        <w:footnoteRef/>
      </w:r>
      <w:r>
        <w:t xml:space="preserve"> </w:t>
      </w:r>
      <w:r>
        <w:rPr>
          <w:lang w:val="en-US"/>
        </w:rPr>
        <w:t>Regulation 4(4) of LN 47/2014. Regulation 2 of LN 47/2014 defines ‘authenticated translation’ as ‘a translation done by either a professional translator who is officially accredited to a court of law, a government agency, an international organization, or similar official institution, or if done in a country where there are no accredited translators a translation, done by a company whose role or business is professional translation’.</w:t>
      </w:r>
    </w:p>
  </w:footnote>
  <w:footnote w:id="43">
    <w:p w14:paraId="731CE174" w14:textId="77777777" w:rsidR="006C3500" w:rsidRPr="00EC58D0" w:rsidRDefault="006C3500" w:rsidP="00006A61">
      <w:pPr>
        <w:pStyle w:val="FootnoteText"/>
        <w:rPr>
          <w:lang w:val="en-US"/>
        </w:rPr>
      </w:pPr>
      <w:r>
        <w:rPr>
          <w:rStyle w:val="FootnoteReference"/>
        </w:rPr>
        <w:footnoteRef/>
      </w:r>
      <w:r>
        <w:t xml:space="preserve"> </w:t>
      </w:r>
      <w:r>
        <w:rPr>
          <w:lang w:val="en-US"/>
        </w:rPr>
        <w:t>Regulation 7(5) of LN 47/2014.</w:t>
      </w:r>
    </w:p>
  </w:footnote>
  <w:footnote w:id="44">
    <w:p w14:paraId="3602232A" w14:textId="77777777" w:rsidR="006C3500" w:rsidRPr="00417ED8" w:rsidRDefault="006C3500" w:rsidP="00006A61">
      <w:pPr>
        <w:pStyle w:val="FootnoteText"/>
        <w:rPr>
          <w:lang w:val="en-US"/>
        </w:rPr>
      </w:pPr>
      <w:r>
        <w:rPr>
          <w:rStyle w:val="FootnoteReference"/>
        </w:rPr>
        <w:footnoteRef/>
      </w:r>
      <w:r>
        <w:t xml:space="preserve"> </w:t>
      </w:r>
      <w:r>
        <w:rPr>
          <w:lang w:val="en-US"/>
        </w:rPr>
        <w:t>Regulation 7(9) of LN 47/2014.</w:t>
      </w:r>
    </w:p>
  </w:footnote>
  <w:footnote w:id="45">
    <w:p w14:paraId="0B0BDE33" w14:textId="77777777" w:rsidR="006C3500" w:rsidRPr="00EC58D0" w:rsidRDefault="006C3500" w:rsidP="0083084C">
      <w:pPr>
        <w:pStyle w:val="FootnoteText"/>
        <w:rPr>
          <w:lang w:val="en-US"/>
        </w:rPr>
      </w:pPr>
      <w:r>
        <w:rPr>
          <w:rStyle w:val="FootnoteReference"/>
        </w:rPr>
        <w:footnoteRef/>
      </w:r>
      <w:r>
        <w:t xml:space="preserve"> Identity Malta Agency, ‘Malta Individual Investor Programme Checklist and Guidelines’, Version 2.0 – 2015, p.3: </w:t>
      </w:r>
      <w:hyperlink r:id="rId18" w:history="1">
        <w:r w:rsidRPr="007A380C">
          <w:rPr>
            <w:rStyle w:val="Hyperlink"/>
          </w:rPr>
          <w:t>http://iip.gov.mt/wp-content/uploads/2014/02/MIIP-Checklist-and-Guidelines-V2-1.pdf</w:t>
        </w:r>
      </w:hyperlink>
      <w:r>
        <w:t>.</w:t>
      </w:r>
    </w:p>
  </w:footnote>
  <w:footnote w:id="46">
    <w:p w14:paraId="5629210B" w14:textId="3676A99A" w:rsidR="006C3500" w:rsidRPr="003F5744" w:rsidRDefault="006C3500" w:rsidP="000001B8">
      <w:pPr>
        <w:pStyle w:val="FootnoteText"/>
        <w:rPr>
          <w:lang w:val="en-US"/>
        </w:rPr>
      </w:pPr>
      <w:r>
        <w:rPr>
          <w:rStyle w:val="FootnoteReference"/>
        </w:rPr>
        <w:footnoteRef/>
      </w:r>
      <w:r>
        <w:t xml:space="preserve"> </w:t>
      </w:r>
      <w:r>
        <w:rPr>
          <w:lang w:val="en-US"/>
        </w:rPr>
        <w:t>Information confirmed through stakeholder consultation with Identity Malta representatives on 8 March 2018.</w:t>
      </w:r>
    </w:p>
  </w:footnote>
  <w:footnote w:id="47">
    <w:p w14:paraId="6157F922" w14:textId="77777777" w:rsidR="006C3500" w:rsidRPr="00417ED8" w:rsidRDefault="006C3500" w:rsidP="00006A61">
      <w:pPr>
        <w:pStyle w:val="FootnoteText"/>
        <w:rPr>
          <w:lang w:val="en-US"/>
        </w:rPr>
      </w:pPr>
      <w:r>
        <w:rPr>
          <w:rStyle w:val="FootnoteReference"/>
        </w:rPr>
        <w:footnoteRef/>
      </w:r>
      <w:r>
        <w:t xml:space="preserve"> </w:t>
      </w:r>
      <w:r>
        <w:rPr>
          <w:lang w:val="en-US"/>
        </w:rPr>
        <w:t>Regulation 7(11) of LN 47/2014.</w:t>
      </w:r>
    </w:p>
  </w:footnote>
  <w:footnote w:id="48">
    <w:p w14:paraId="28CF5F68" w14:textId="5F03DEA6" w:rsidR="006C3500" w:rsidRDefault="006C3500">
      <w:pPr>
        <w:pStyle w:val="FootnoteText"/>
      </w:pPr>
      <w:r>
        <w:rPr>
          <w:rStyle w:val="FootnoteReference"/>
        </w:rPr>
        <w:footnoteRef/>
      </w:r>
      <w:r>
        <w:t xml:space="preserve"> </w:t>
      </w:r>
      <w:r>
        <w:rPr>
          <w:lang w:val="en-US"/>
        </w:rPr>
        <w:t>Information confirmed through stakeholder consultation with Identity Malta representatives on 8 March 2018.</w:t>
      </w:r>
    </w:p>
  </w:footnote>
  <w:footnote w:id="49">
    <w:p w14:paraId="06FD6672" w14:textId="77777777" w:rsidR="006C3500" w:rsidRPr="00441EAB" w:rsidRDefault="006C3500" w:rsidP="00006A61">
      <w:pPr>
        <w:pStyle w:val="FootnoteText"/>
        <w:rPr>
          <w:lang w:val="en-US"/>
        </w:rPr>
      </w:pPr>
      <w:r>
        <w:rPr>
          <w:rStyle w:val="FootnoteReference"/>
        </w:rPr>
        <w:footnoteRef/>
      </w:r>
      <w:r>
        <w:t xml:space="preserve"> </w:t>
      </w:r>
      <w:r>
        <w:rPr>
          <w:lang w:val="en-US"/>
        </w:rPr>
        <w:t>Regulation 4(8) of LN 47/2014.</w:t>
      </w:r>
    </w:p>
  </w:footnote>
  <w:footnote w:id="50">
    <w:p w14:paraId="424FD5C4" w14:textId="77777777" w:rsidR="006C3500" w:rsidRPr="004A7ADB" w:rsidRDefault="006C3500" w:rsidP="00006A61">
      <w:pPr>
        <w:pStyle w:val="FootnoteText"/>
        <w:rPr>
          <w:lang w:val="en-US"/>
        </w:rPr>
      </w:pPr>
      <w:r>
        <w:rPr>
          <w:rStyle w:val="FootnoteReference"/>
        </w:rPr>
        <w:footnoteRef/>
      </w:r>
      <w:r>
        <w:t xml:space="preserve"> </w:t>
      </w:r>
      <w:r>
        <w:rPr>
          <w:lang w:val="en-US"/>
        </w:rPr>
        <w:t xml:space="preserve">Office of the Regulator, ‘Complaints’: </w:t>
      </w:r>
      <w:hyperlink r:id="rId19" w:history="1">
        <w:r w:rsidRPr="007A380C">
          <w:rPr>
            <w:rStyle w:val="Hyperlink"/>
            <w:lang w:val="en-US"/>
          </w:rPr>
          <w:t>https://oriip.gov.mt/en/Pages/complaints.aspx</w:t>
        </w:r>
      </w:hyperlink>
      <w:r>
        <w:rPr>
          <w:lang w:val="en-US"/>
        </w:rPr>
        <w:t xml:space="preserve">. </w:t>
      </w:r>
    </w:p>
  </w:footnote>
  <w:footnote w:id="51">
    <w:p w14:paraId="0BC89C72" w14:textId="77777777" w:rsidR="006C3500" w:rsidRPr="002614C2" w:rsidRDefault="006C3500" w:rsidP="00006A61">
      <w:pPr>
        <w:pStyle w:val="FootnoteText"/>
        <w:rPr>
          <w:lang w:val="en-US"/>
        </w:rPr>
      </w:pPr>
      <w:r>
        <w:rPr>
          <w:rStyle w:val="FootnoteReference"/>
        </w:rPr>
        <w:footnoteRef/>
      </w:r>
      <w:r>
        <w:t xml:space="preserve"> </w:t>
      </w:r>
      <w:r w:rsidRPr="00437890">
        <w:t>Office of the Regulator Individual Investor Programme (</w:t>
      </w:r>
      <w:proofErr w:type="spellStart"/>
      <w:r w:rsidRPr="00437890">
        <w:t>ORiip</w:t>
      </w:r>
      <w:proofErr w:type="spellEnd"/>
      <w:r w:rsidRPr="00437890">
        <w:t xml:space="preserve">), Second Annual Report on the IIP Programme of the Government of Malta, October 2015, Appendix II (Complaints Regulations): </w:t>
      </w:r>
      <w:hyperlink r:id="rId20" w:history="1">
        <w:r w:rsidRPr="00437890">
          <w:rPr>
            <w:rStyle w:val="Hyperlink"/>
          </w:rPr>
          <w:t>https://oriip.gov.mt/en/Documents/Reports/Annual%20Report%202015.pdf</w:t>
        </w:r>
      </w:hyperlink>
      <w:r w:rsidRPr="00437890">
        <w:t>.</w:t>
      </w:r>
      <w:r>
        <w:t xml:space="preserve"> </w:t>
      </w:r>
    </w:p>
  </w:footnote>
  <w:footnote w:id="52">
    <w:p w14:paraId="2A266588" w14:textId="77777777" w:rsidR="006C3500" w:rsidRPr="00F64798"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37: </w:t>
      </w:r>
      <w:hyperlink r:id="rId21" w:history="1">
        <w:r w:rsidRPr="006F0793">
          <w:rPr>
            <w:rStyle w:val="Hyperlink"/>
          </w:rPr>
          <w:t>https://oriip.gov.mt/en/Documents/Reports/Annual%20Report%202017.pdf</w:t>
        </w:r>
      </w:hyperlink>
      <w:r>
        <w:t xml:space="preserve">. </w:t>
      </w:r>
    </w:p>
  </w:footnote>
  <w:footnote w:id="53">
    <w:p w14:paraId="1E11DB04" w14:textId="77777777" w:rsidR="006C3500" w:rsidRPr="00D70AA0" w:rsidRDefault="006C3500" w:rsidP="00F1159D">
      <w:pPr>
        <w:pStyle w:val="FootnoteText"/>
        <w:rPr>
          <w:lang w:val="en-US"/>
        </w:rPr>
      </w:pPr>
      <w:r>
        <w:rPr>
          <w:rStyle w:val="FootnoteReference"/>
        </w:rPr>
        <w:footnoteRef/>
      </w:r>
      <w:r>
        <w:t xml:space="preserve"> Times of Malta, ‘</w:t>
      </w:r>
      <w:r w:rsidRPr="00D70AA0">
        <w:t>Russian millionaire sues Malta after failing passport test</w:t>
      </w:r>
      <w:r>
        <w:t xml:space="preserve">’, 8 July 2016: </w:t>
      </w:r>
      <w:hyperlink r:id="rId22" w:history="1">
        <w:r w:rsidRPr="00D208E0">
          <w:rPr>
            <w:rStyle w:val="Hyperlink"/>
          </w:rPr>
          <w:t>https://www.timesofmalta.com/articles/view/20160708/local/russian-millionaire-sues-malta-after-failing-passport-test.618081</w:t>
        </w:r>
      </w:hyperlink>
      <w:r>
        <w:t xml:space="preserve"> </w:t>
      </w:r>
    </w:p>
  </w:footnote>
  <w:footnote w:id="54">
    <w:p w14:paraId="2E0BDC4E" w14:textId="77777777" w:rsidR="006C3500" w:rsidRPr="003473F4" w:rsidRDefault="006C3500" w:rsidP="00006A61">
      <w:pPr>
        <w:pStyle w:val="FootnoteText"/>
        <w:rPr>
          <w:lang w:val="en-US"/>
        </w:rPr>
      </w:pPr>
      <w:r>
        <w:rPr>
          <w:rStyle w:val="FootnoteReference"/>
        </w:rPr>
        <w:footnoteRef/>
      </w:r>
      <w:r>
        <w:t xml:space="preserve"> </w:t>
      </w:r>
      <w:r>
        <w:rPr>
          <w:lang w:val="en-US"/>
        </w:rPr>
        <w:t>Regulation 11 of LN 47/2014.</w:t>
      </w:r>
    </w:p>
  </w:footnote>
  <w:footnote w:id="55">
    <w:p w14:paraId="180F6A7D" w14:textId="77777777" w:rsidR="006C3500" w:rsidRPr="00E16069" w:rsidRDefault="006C3500" w:rsidP="00006A61">
      <w:pPr>
        <w:pStyle w:val="FootnoteText"/>
        <w:rPr>
          <w:lang w:val="en-US"/>
        </w:rPr>
      </w:pPr>
      <w:r>
        <w:rPr>
          <w:rStyle w:val="FootnoteReference"/>
        </w:rPr>
        <w:footnoteRef/>
      </w:r>
      <w:r>
        <w:t xml:space="preserve"> </w:t>
      </w:r>
      <w:r>
        <w:rPr>
          <w:lang w:val="en-US"/>
        </w:rPr>
        <w:t>Regulation 4(3) of LN 47/2014.</w:t>
      </w:r>
    </w:p>
  </w:footnote>
  <w:footnote w:id="56">
    <w:p w14:paraId="22750232" w14:textId="77777777" w:rsidR="006C3500" w:rsidRPr="005F3316" w:rsidRDefault="006C3500" w:rsidP="00006A61">
      <w:pPr>
        <w:pStyle w:val="FootnoteText"/>
        <w:rPr>
          <w:lang w:val="en-US"/>
        </w:rPr>
      </w:pPr>
      <w:r>
        <w:rPr>
          <w:rStyle w:val="FootnoteReference"/>
        </w:rPr>
        <w:footnoteRef/>
      </w:r>
      <w:r>
        <w:t xml:space="preserve"> </w:t>
      </w:r>
      <w:r>
        <w:rPr>
          <w:lang w:val="en-US"/>
        </w:rPr>
        <w:t>Regulation 3(3) and (4) of LN 47/2014.</w:t>
      </w:r>
    </w:p>
  </w:footnote>
  <w:footnote w:id="57">
    <w:p w14:paraId="7DE20842" w14:textId="77777777" w:rsidR="006C3500" w:rsidRPr="002B2B65" w:rsidRDefault="006C3500" w:rsidP="00006A61">
      <w:pPr>
        <w:pStyle w:val="FootnoteText"/>
        <w:rPr>
          <w:lang w:val="en-US"/>
        </w:rPr>
      </w:pPr>
      <w:r>
        <w:rPr>
          <w:rStyle w:val="FootnoteReference"/>
        </w:rPr>
        <w:footnoteRef/>
      </w:r>
      <w:r>
        <w:t xml:space="preserve"> </w:t>
      </w:r>
      <w:r>
        <w:rPr>
          <w:lang w:val="en-US"/>
        </w:rPr>
        <w:t>Regulation 3(5) of LN 47/2014.</w:t>
      </w:r>
    </w:p>
  </w:footnote>
  <w:footnote w:id="58">
    <w:p w14:paraId="6363D2D8" w14:textId="77777777" w:rsidR="006C3500" w:rsidRPr="00EC6EE5" w:rsidRDefault="006C3500" w:rsidP="00006A61">
      <w:pPr>
        <w:pStyle w:val="FootnoteText"/>
        <w:rPr>
          <w:lang w:val="en-US"/>
        </w:rPr>
      </w:pPr>
      <w:r>
        <w:rPr>
          <w:rStyle w:val="FootnoteReference"/>
        </w:rPr>
        <w:footnoteRef/>
      </w:r>
      <w:r>
        <w:t xml:space="preserve"> </w:t>
      </w:r>
      <w:r>
        <w:rPr>
          <w:lang w:val="en-US"/>
        </w:rPr>
        <w:t xml:space="preserve">Identity Malta, </w:t>
      </w:r>
      <w:r>
        <w:t xml:space="preserve">Accredited Person – Code of Conduct: </w:t>
      </w:r>
      <w:hyperlink r:id="rId23" w:history="1">
        <w:r w:rsidRPr="00FE7C4A">
          <w:rPr>
            <w:rStyle w:val="Hyperlink"/>
          </w:rPr>
          <w:t>http://iip.gov.mt/wp-content/uploads/2014/02/Malta-IIP-Code-of-Conduct-2.pdf</w:t>
        </w:r>
      </w:hyperlink>
      <w:r>
        <w:t xml:space="preserve"> </w:t>
      </w:r>
    </w:p>
  </w:footnote>
  <w:footnote w:id="59">
    <w:p w14:paraId="079CA6E0" w14:textId="77777777" w:rsidR="006C3500" w:rsidRPr="00EC6EE5" w:rsidRDefault="006C3500" w:rsidP="00006A61">
      <w:pPr>
        <w:pStyle w:val="FootnoteText"/>
        <w:rPr>
          <w:lang w:val="en-US"/>
        </w:rPr>
      </w:pPr>
      <w:r>
        <w:rPr>
          <w:rStyle w:val="FootnoteReference"/>
        </w:rPr>
        <w:footnoteRef/>
      </w:r>
      <w:r>
        <w:t xml:space="preserve"> </w:t>
      </w:r>
      <w:r>
        <w:rPr>
          <w:lang w:val="en-US"/>
        </w:rPr>
        <w:t xml:space="preserve">The EUR </w:t>
      </w:r>
      <w:r w:rsidRPr="00EC6EE5">
        <w:rPr>
          <w:lang w:val="en-US"/>
        </w:rPr>
        <w:t xml:space="preserve">650,000 contribution to the National Development and Social Fund </w:t>
      </w:r>
      <w:r>
        <w:rPr>
          <w:lang w:val="en-US"/>
        </w:rPr>
        <w:t>can only be referred to as</w:t>
      </w:r>
      <w:r w:rsidRPr="00EC6EE5">
        <w:rPr>
          <w:lang w:val="en-US"/>
        </w:rPr>
        <w:t xml:space="preserve"> ‘contribution’, while the</w:t>
      </w:r>
      <w:r>
        <w:rPr>
          <w:lang w:val="en-US"/>
        </w:rPr>
        <w:t xml:space="preserve"> EUR </w:t>
      </w:r>
      <w:r w:rsidRPr="00EC6EE5">
        <w:rPr>
          <w:lang w:val="en-US"/>
        </w:rPr>
        <w:t>150,000 investment requirement in</w:t>
      </w:r>
      <w:r>
        <w:rPr>
          <w:lang w:val="en-US"/>
        </w:rPr>
        <w:t xml:space="preserve"> </w:t>
      </w:r>
      <w:r w:rsidRPr="00EC6EE5">
        <w:rPr>
          <w:lang w:val="en-US"/>
        </w:rPr>
        <w:t>stocks, bonds, debentures, special</w:t>
      </w:r>
      <w:r>
        <w:rPr>
          <w:lang w:val="en-US"/>
        </w:rPr>
        <w:t xml:space="preserve"> </w:t>
      </w:r>
      <w:r w:rsidRPr="00EC6EE5">
        <w:rPr>
          <w:lang w:val="en-US"/>
        </w:rPr>
        <w:t>purpose vehicles or other investments as identified by Identity Malta Agency</w:t>
      </w:r>
      <w:r>
        <w:rPr>
          <w:lang w:val="en-US"/>
        </w:rPr>
        <w:t>, or other,</w:t>
      </w:r>
      <w:r w:rsidRPr="00EC6EE5">
        <w:rPr>
          <w:lang w:val="en-US"/>
        </w:rPr>
        <w:t xml:space="preserve"> </w:t>
      </w:r>
      <w:r>
        <w:rPr>
          <w:lang w:val="en-US"/>
        </w:rPr>
        <w:t xml:space="preserve">as </w:t>
      </w:r>
      <w:r w:rsidRPr="00EC6EE5">
        <w:rPr>
          <w:lang w:val="en-US"/>
        </w:rPr>
        <w:t>‘investment’.</w:t>
      </w:r>
      <w:r>
        <w:rPr>
          <w:lang w:val="en-US"/>
        </w:rPr>
        <w:t xml:space="preserve"> Identity Malta, </w:t>
      </w:r>
      <w:r>
        <w:t xml:space="preserve">Accredited Person – Code of Conduct: </w:t>
      </w:r>
      <w:hyperlink r:id="rId24" w:history="1">
        <w:r w:rsidRPr="00FE7C4A">
          <w:rPr>
            <w:rStyle w:val="Hyperlink"/>
          </w:rPr>
          <w:t>http://iip.gov.mt/wp-content/uploads/2014/02/Malta-IIP-Code-of-Conduct-2.pdf</w:t>
        </w:r>
      </w:hyperlink>
    </w:p>
  </w:footnote>
  <w:footnote w:id="60">
    <w:p w14:paraId="56160A8B" w14:textId="77777777" w:rsidR="006C3500" w:rsidRPr="00D22751" w:rsidRDefault="006C3500" w:rsidP="00006A61">
      <w:pPr>
        <w:pStyle w:val="FootnoteText"/>
        <w:rPr>
          <w:lang w:val="en-US"/>
        </w:rPr>
      </w:pPr>
      <w:r>
        <w:rPr>
          <w:rStyle w:val="FootnoteReference"/>
        </w:rPr>
        <w:footnoteRef/>
      </w:r>
      <w:r>
        <w:t xml:space="preserve"> </w:t>
      </w:r>
      <w:r>
        <w:rPr>
          <w:lang w:val="en-US"/>
        </w:rPr>
        <w:t xml:space="preserve">Henley &amp; Partners, Citizenship by Investment in Malta: </w:t>
      </w:r>
      <w:hyperlink r:id="rId25" w:history="1">
        <w:r w:rsidRPr="0024546F">
          <w:rPr>
            <w:rStyle w:val="Hyperlink"/>
            <w:lang w:val="en-US"/>
          </w:rPr>
          <w:t>https://www.henleyglobal.com/citizenship-malta-citizenship/</w:t>
        </w:r>
      </w:hyperlink>
      <w:r>
        <w:rPr>
          <w:lang w:val="en-US"/>
        </w:rPr>
        <w:t xml:space="preserve"> </w:t>
      </w:r>
    </w:p>
  </w:footnote>
  <w:footnote w:id="61">
    <w:p w14:paraId="269F6218" w14:textId="77777777" w:rsidR="006C3500" w:rsidRPr="00F64798"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p. 37: </w:t>
      </w:r>
      <w:hyperlink r:id="rId26" w:history="1">
        <w:r w:rsidRPr="004257C3">
          <w:rPr>
            <w:rStyle w:val="Hyperlink"/>
          </w:rPr>
          <w:t>https://oriip.gov.mt/en/Documents/Reports/Annual%20Report%202017.pdf</w:t>
        </w:r>
      </w:hyperlink>
      <w:r>
        <w:t xml:space="preserve"> </w:t>
      </w:r>
    </w:p>
  </w:footnote>
  <w:footnote w:id="62">
    <w:p w14:paraId="3B8E2068" w14:textId="77777777" w:rsidR="006C3500" w:rsidRPr="002B2B65" w:rsidRDefault="006C3500" w:rsidP="00A23190">
      <w:pPr>
        <w:pStyle w:val="FootnoteText"/>
        <w:rPr>
          <w:lang w:val="en-US"/>
        </w:rPr>
      </w:pPr>
      <w:r>
        <w:rPr>
          <w:rStyle w:val="FootnoteReference"/>
        </w:rPr>
        <w:footnoteRef/>
      </w:r>
      <w:r>
        <w:t xml:space="preserve"> </w:t>
      </w:r>
      <w:r>
        <w:rPr>
          <w:lang w:val="en-US"/>
        </w:rPr>
        <w:t>Regulation 3(2) of LN 47/2014.</w:t>
      </w:r>
    </w:p>
  </w:footnote>
  <w:footnote w:id="63">
    <w:p w14:paraId="7DC2BB73" w14:textId="77777777" w:rsidR="006C3500" w:rsidRDefault="006C3500" w:rsidP="003A79A0">
      <w:pPr>
        <w:pStyle w:val="FootnoteText"/>
      </w:pPr>
      <w:r>
        <w:rPr>
          <w:rStyle w:val="FootnoteReference"/>
        </w:rPr>
        <w:footnoteRef/>
      </w:r>
      <w:r>
        <w:t xml:space="preserve"> Information obtained through email correspondence with Identity Malta representative on 15 March 2018.</w:t>
      </w:r>
    </w:p>
  </w:footnote>
  <w:footnote w:id="64">
    <w:p w14:paraId="4B830643" w14:textId="77777777" w:rsidR="006C3500" w:rsidRPr="00195F0B" w:rsidRDefault="006C3500" w:rsidP="00006A61">
      <w:pPr>
        <w:pStyle w:val="FootnoteText"/>
        <w:rPr>
          <w:lang w:val="en-US"/>
        </w:rPr>
      </w:pPr>
      <w:r>
        <w:rPr>
          <w:rStyle w:val="FootnoteReference"/>
        </w:rPr>
        <w:footnoteRef/>
      </w:r>
      <w:r>
        <w:t xml:space="preserve"> </w:t>
      </w:r>
      <w:r w:rsidRPr="00195F0B">
        <w:t>Public Service Concession Contract between The Republic of Malta represented by the Ministry of Home Affairs and National Security and Henley &amp; Partners Holdings Plc. Regarding The Malt</w:t>
      </w:r>
      <w:r>
        <w:t xml:space="preserve">a Individual Investor Programme: </w:t>
      </w:r>
      <w:hyperlink r:id="rId27" w:history="1">
        <w:r w:rsidRPr="00FE7C4A">
          <w:rPr>
            <w:rStyle w:val="Hyperlink"/>
          </w:rPr>
          <w:t>https://parlament.mt/media/90506/dok-105-l60.pdf</w:t>
        </w:r>
      </w:hyperlink>
      <w:r>
        <w:t xml:space="preserve">; Amendment to </w:t>
      </w:r>
      <w:r w:rsidRPr="00195F0B">
        <w:t>Public Service Concession Contract between The Republic of Malta represented by the Ministry of Home Affairs and National Security and Henley &amp; Partners Holdings Plc. Regarding The Malt</w:t>
      </w:r>
      <w:r>
        <w:t xml:space="preserve">a Individual Investor Programme: </w:t>
      </w:r>
      <w:hyperlink r:id="rId28" w:history="1">
        <w:r w:rsidRPr="00FE7C4A">
          <w:rPr>
            <w:rStyle w:val="Hyperlink"/>
          </w:rPr>
          <w:t>https://www.parlament.mt/media/82316/dok-106-l60.pdf</w:t>
        </w:r>
      </w:hyperlink>
      <w:r>
        <w:t xml:space="preserve"> </w:t>
      </w:r>
    </w:p>
  </w:footnote>
  <w:footnote w:id="65">
    <w:p w14:paraId="7C94267B" w14:textId="77777777" w:rsidR="006C3500" w:rsidRPr="00195F0B"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17: </w:t>
      </w:r>
      <w:hyperlink r:id="rId29" w:history="1">
        <w:r w:rsidRPr="00D208E0">
          <w:rPr>
            <w:rStyle w:val="Hyperlink"/>
          </w:rPr>
          <w:t>https://oriip.gov.mt/en/Documents/Reports/Annual%20Report%202017.pdf</w:t>
        </w:r>
      </w:hyperlink>
      <w:r>
        <w:t xml:space="preserve"> </w:t>
      </w:r>
    </w:p>
  </w:footnote>
  <w:footnote w:id="66">
    <w:p w14:paraId="5A953D56" w14:textId="77777777" w:rsidR="006C3500" w:rsidRPr="00195F0B" w:rsidRDefault="006C3500" w:rsidP="00006A61">
      <w:pPr>
        <w:pStyle w:val="FootnoteText"/>
        <w:rPr>
          <w:lang w:val="en-US"/>
        </w:rPr>
      </w:pPr>
      <w:r>
        <w:rPr>
          <w:rStyle w:val="FootnoteReference"/>
        </w:rPr>
        <w:footnoteRef/>
      </w:r>
      <w:r>
        <w:t xml:space="preserve"> Amendment to </w:t>
      </w:r>
      <w:r w:rsidRPr="00195F0B">
        <w:t>Public Service Concession Contract between The Republic of Malta represented by the Ministry of Home Affairs and National Security and Henley &amp; Partners Holdings Plc. Regarding The Malt</w:t>
      </w:r>
      <w:r>
        <w:t xml:space="preserve">a Individual Investor Programme, Article 7.5: </w:t>
      </w:r>
      <w:hyperlink r:id="rId30" w:history="1">
        <w:r w:rsidRPr="00FE7C4A">
          <w:rPr>
            <w:rStyle w:val="Hyperlink"/>
          </w:rPr>
          <w:t>https://www.parlament.mt/media/82316/dok-106-l60.pdf</w:t>
        </w:r>
      </w:hyperlink>
    </w:p>
  </w:footnote>
  <w:footnote w:id="67">
    <w:p w14:paraId="2A5EE170" w14:textId="21335BCF" w:rsidR="006C3500" w:rsidRPr="00920991" w:rsidRDefault="006C3500" w:rsidP="00006A61">
      <w:pPr>
        <w:pStyle w:val="FootnoteText"/>
        <w:rPr>
          <w:lang w:val="en-US"/>
        </w:rPr>
      </w:pPr>
      <w:r>
        <w:rPr>
          <w:rStyle w:val="FootnoteReference"/>
        </w:rPr>
        <w:footnoteRef/>
      </w:r>
      <w:r>
        <w:t xml:space="preserve"> </w:t>
      </w:r>
      <w:r w:rsidRPr="00195F0B">
        <w:t>Public Service Concession Contract between The Republic of Malta represented by the Ministry of Home Affairs and National Security and Henley &amp; Partners Holdings Plc. Regarding The Malt</w:t>
      </w:r>
      <w:r>
        <w:t xml:space="preserve">a Individual Investor Programme, Article 7.4: </w:t>
      </w:r>
      <w:hyperlink r:id="rId31" w:history="1">
        <w:r w:rsidRPr="00FE7C4A">
          <w:rPr>
            <w:rStyle w:val="Hyperlink"/>
          </w:rPr>
          <w:t>https://parlament.mt/media/90506/dok-105-l60.pdf</w:t>
        </w:r>
      </w:hyperlink>
    </w:p>
  </w:footnote>
  <w:footnote w:id="68">
    <w:p w14:paraId="5FEB06B8" w14:textId="77777777" w:rsidR="006C3500" w:rsidRPr="004A7ADB" w:rsidRDefault="006C3500" w:rsidP="00006A61">
      <w:pPr>
        <w:pStyle w:val="FootnoteText"/>
        <w:rPr>
          <w:lang w:val="en-US"/>
        </w:rPr>
      </w:pPr>
      <w:r>
        <w:rPr>
          <w:rStyle w:val="FootnoteReference"/>
        </w:rPr>
        <w:footnoteRef/>
      </w:r>
      <w:r>
        <w:t xml:space="preserve"> </w:t>
      </w:r>
      <w:r>
        <w:rPr>
          <w:lang w:val="en-US"/>
        </w:rPr>
        <w:t xml:space="preserve">Office of the Regulator Individual Investor </w:t>
      </w:r>
      <w:proofErr w:type="spellStart"/>
      <w:r>
        <w:rPr>
          <w:lang w:val="en-US"/>
        </w:rPr>
        <w:t>Programme</w:t>
      </w:r>
      <w:proofErr w:type="spellEnd"/>
      <w:r>
        <w:rPr>
          <w:lang w:val="en-US"/>
        </w:rPr>
        <w:t xml:space="preserve"> (</w:t>
      </w:r>
      <w:proofErr w:type="spellStart"/>
      <w:r>
        <w:rPr>
          <w:lang w:val="en-US"/>
        </w:rPr>
        <w:t>ORiip</w:t>
      </w:r>
      <w:proofErr w:type="spellEnd"/>
      <w:r>
        <w:rPr>
          <w:lang w:val="en-US"/>
        </w:rPr>
        <w:t xml:space="preserve">), Third Annual Report on the Individual Investor </w:t>
      </w:r>
      <w:proofErr w:type="spellStart"/>
      <w:r>
        <w:rPr>
          <w:lang w:val="en-US"/>
        </w:rPr>
        <w:t>Programme</w:t>
      </w:r>
      <w:proofErr w:type="spellEnd"/>
      <w:r>
        <w:rPr>
          <w:lang w:val="en-US"/>
        </w:rPr>
        <w:t xml:space="preserve"> of the Government of Malta (1 July 2015 – 30 June 2016), October 2016: </w:t>
      </w:r>
      <w:hyperlink r:id="rId32" w:history="1">
        <w:r w:rsidRPr="007A380C">
          <w:rPr>
            <w:rStyle w:val="Hyperlink"/>
            <w:lang w:val="en-US"/>
          </w:rPr>
          <w:t>https://oriip.gov.mt/en/Documents/Reports/Annual%20Report%202016.pdf</w:t>
        </w:r>
      </w:hyperlink>
      <w:r>
        <w:rPr>
          <w:lang w:val="en-US"/>
        </w:rPr>
        <w:t xml:space="preserve"> </w:t>
      </w:r>
    </w:p>
  </w:footnote>
  <w:footnote w:id="69">
    <w:p w14:paraId="566DA6F8" w14:textId="77777777" w:rsidR="006C3500" w:rsidRPr="00402620" w:rsidRDefault="006C3500" w:rsidP="00006A61">
      <w:pPr>
        <w:pStyle w:val="FootnoteText"/>
        <w:rPr>
          <w:lang w:val="en-US"/>
        </w:rPr>
      </w:pPr>
      <w:r>
        <w:rPr>
          <w:rStyle w:val="FootnoteReference"/>
        </w:rPr>
        <w:footnoteRef/>
      </w:r>
      <w:r>
        <w:t xml:space="preserve"> </w:t>
      </w:r>
      <w:r>
        <w:rPr>
          <w:lang w:val="en-US"/>
        </w:rPr>
        <w:t xml:space="preserve">Times of Malta, ‘Cash-for-passports scheme will become more exclusive’ – PM’, 15 November 2017: </w:t>
      </w:r>
      <w:hyperlink r:id="rId33" w:history="1">
        <w:r w:rsidRPr="00746B11">
          <w:rPr>
            <w:rStyle w:val="Hyperlink"/>
            <w:lang w:val="en-US"/>
          </w:rPr>
          <w:t>https://www.timesofmalta.com/articles/view/20171115/local/cash-for-passports-scheme-will-become-more-exclusive-pm.663206</w:t>
        </w:r>
      </w:hyperlink>
      <w:r>
        <w:rPr>
          <w:lang w:val="en-US"/>
        </w:rPr>
        <w:t xml:space="preserve">. </w:t>
      </w:r>
    </w:p>
  </w:footnote>
  <w:footnote w:id="70">
    <w:p w14:paraId="47AB6809" w14:textId="77777777" w:rsidR="006C3500" w:rsidRPr="001D710F" w:rsidRDefault="006C3500" w:rsidP="00006A61">
      <w:pPr>
        <w:pStyle w:val="FootnoteText"/>
        <w:rPr>
          <w:lang w:val="en-US"/>
        </w:rPr>
      </w:pPr>
      <w:r>
        <w:rPr>
          <w:rStyle w:val="FootnoteReference"/>
        </w:rPr>
        <w:footnoteRef/>
      </w:r>
      <w:r>
        <w:t xml:space="preserve"> Article 25(7) of the Maltese Citizenship Act.</w:t>
      </w:r>
    </w:p>
  </w:footnote>
  <w:footnote w:id="71">
    <w:p w14:paraId="15C30959" w14:textId="77777777" w:rsidR="006C3500" w:rsidRPr="008F4111" w:rsidRDefault="006C3500" w:rsidP="00006A61">
      <w:pPr>
        <w:pStyle w:val="FootnoteText"/>
        <w:rPr>
          <w:lang w:val="en-US"/>
        </w:rPr>
      </w:pPr>
      <w:r>
        <w:rPr>
          <w:rStyle w:val="FootnoteReference"/>
        </w:rPr>
        <w:footnoteRef/>
      </w:r>
      <w:r>
        <w:t xml:space="preserve"> </w:t>
      </w:r>
      <w:r>
        <w:rPr>
          <w:lang w:val="en-US"/>
        </w:rPr>
        <w:t>Article 25(9) of the Maltese Citizenship Act.</w:t>
      </w:r>
    </w:p>
  </w:footnote>
  <w:footnote w:id="72">
    <w:p w14:paraId="764A5A45" w14:textId="77777777" w:rsidR="006C3500" w:rsidRPr="008F4111" w:rsidRDefault="006C3500" w:rsidP="00006A61">
      <w:pPr>
        <w:pStyle w:val="FootnoteText"/>
        <w:rPr>
          <w:lang w:val="en-US"/>
        </w:rPr>
      </w:pPr>
      <w:r>
        <w:rPr>
          <w:rStyle w:val="FootnoteReference"/>
        </w:rPr>
        <w:footnoteRef/>
      </w:r>
      <w:r>
        <w:t xml:space="preserve"> </w:t>
      </w:r>
      <w:r>
        <w:rPr>
          <w:lang w:val="en-US"/>
        </w:rPr>
        <w:t>Article 25(8) of the Maltese Citizenship Act.</w:t>
      </w:r>
    </w:p>
  </w:footnote>
  <w:footnote w:id="73">
    <w:p w14:paraId="1D75F916" w14:textId="77777777" w:rsidR="006C3500" w:rsidRPr="00C46627" w:rsidRDefault="006C3500" w:rsidP="00006A61">
      <w:pPr>
        <w:pStyle w:val="FootnoteText"/>
        <w:rPr>
          <w:lang w:val="es-ES"/>
        </w:rPr>
      </w:pPr>
      <w:r>
        <w:rPr>
          <w:rStyle w:val="FootnoteReference"/>
        </w:rPr>
        <w:footnoteRef/>
      </w:r>
      <w:r w:rsidRPr="00C46627">
        <w:rPr>
          <w:lang w:val="es-ES"/>
        </w:rPr>
        <w:t xml:space="preserve"> Malta Ombudsman: </w:t>
      </w:r>
      <w:hyperlink r:id="rId34" w:history="1">
        <w:r w:rsidRPr="00C46627">
          <w:rPr>
            <w:rStyle w:val="Hyperlink"/>
            <w:lang w:val="es-ES"/>
          </w:rPr>
          <w:t>https://www.ombudsman.org.mt</w:t>
        </w:r>
      </w:hyperlink>
      <w:r w:rsidRPr="00C46627">
        <w:rPr>
          <w:lang w:val="es-ES"/>
        </w:rPr>
        <w:t xml:space="preserve">. </w:t>
      </w:r>
    </w:p>
  </w:footnote>
  <w:footnote w:id="74">
    <w:p w14:paraId="51E189BF" w14:textId="77777777" w:rsidR="006C3500" w:rsidRPr="001D710F" w:rsidRDefault="006C3500" w:rsidP="00006A61">
      <w:pPr>
        <w:pStyle w:val="FootnoteText"/>
        <w:rPr>
          <w:lang w:val="en-US"/>
        </w:rPr>
      </w:pPr>
      <w:r>
        <w:rPr>
          <w:rStyle w:val="FootnoteReference"/>
        </w:rPr>
        <w:footnoteRef/>
      </w:r>
      <w:r>
        <w:t xml:space="preserve"> </w:t>
      </w:r>
      <w:r>
        <w:rPr>
          <w:lang w:val="en-US"/>
        </w:rPr>
        <w:t>Article 25B of the Maltese Citizenship Act.</w:t>
      </w:r>
    </w:p>
  </w:footnote>
  <w:footnote w:id="75">
    <w:p w14:paraId="546E4C89" w14:textId="77777777" w:rsidR="006C3500" w:rsidRPr="00B86855" w:rsidRDefault="006C3500" w:rsidP="00006A61">
      <w:pPr>
        <w:pStyle w:val="FootnoteText"/>
        <w:rPr>
          <w:lang w:val="en-US"/>
        </w:rPr>
      </w:pPr>
      <w:r>
        <w:rPr>
          <w:rStyle w:val="FootnoteReference"/>
        </w:rPr>
        <w:footnoteRef/>
      </w:r>
      <w:r>
        <w:t xml:space="preserve"> Identity Malta Agency, ‘Malta Individual Investor Programme Checklist and Guidelines’, Version 2.0 – 2015, p. 5: </w:t>
      </w:r>
      <w:hyperlink r:id="rId35" w:history="1">
        <w:r w:rsidRPr="007A380C">
          <w:rPr>
            <w:rStyle w:val="Hyperlink"/>
          </w:rPr>
          <w:t>http://iip.gov.mt/wp-content/uploads/2014/02/MIIP-Checklist-and-Guidelines-V2-1.pdf</w:t>
        </w:r>
      </w:hyperlink>
    </w:p>
  </w:footnote>
  <w:footnote w:id="76">
    <w:p w14:paraId="267B100B" w14:textId="77777777" w:rsidR="006C3500" w:rsidRPr="00B71F48" w:rsidRDefault="006C3500" w:rsidP="00006A61">
      <w:pPr>
        <w:pStyle w:val="FootnoteText"/>
        <w:rPr>
          <w:lang w:val="en-US"/>
        </w:rPr>
      </w:pPr>
      <w:r>
        <w:rPr>
          <w:rStyle w:val="FootnoteReference"/>
        </w:rPr>
        <w:footnoteRef/>
      </w:r>
      <w:r>
        <w:t xml:space="preserve"> The Malta Government Gazette, 31 July 2015, Government Notice 751 – Persons Naturalised/Registered as Citizens of Malta: </w:t>
      </w:r>
      <w:hyperlink r:id="rId36" w:history="1">
        <w:r w:rsidRPr="007A380C">
          <w:rPr>
            <w:rStyle w:val="Hyperlink"/>
          </w:rPr>
          <w:t>https://govcms.gov.mt/en/Government/Government%20Gazette/Government%20Notices/Documents/Naturalised%20list.pdf</w:t>
        </w:r>
      </w:hyperlink>
    </w:p>
  </w:footnote>
  <w:footnote w:id="77">
    <w:p w14:paraId="5A233B87" w14:textId="00D0A104" w:rsidR="006C3500" w:rsidRPr="00EE3E3F" w:rsidRDefault="006C3500" w:rsidP="005F2EDF">
      <w:pPr>
        <w:pStyle w:val="FootnoteText"/>
        <w:rPr>
          <w:lang w:val="en-US"/>
        </w:rPr>
      </w:pPr>
      <w:r>
        <w:rPr>
          <w:rStyle w:val="FootnoteReference"/>
        </w:rPr>
        <w:footnoteRef/>
      </w:r>
      <w:r>
        <w:t xml:space="preserve"> The Malta Government Gazette, 31 July 2015, Government Notice 751 – Persons Naturalised/Registered as Citizens of Malta: </w:t>
      </w:r>
      <w:r w:rsidRPr="005F2EDF">
        <w:t>https://govcms.gov.mt/en/Government/Government%20Gazette/Government%20Notices/Documents/Naturalised%20list.pd</w:t>
      </w:r>
      <w:r>
        <w:rPr>
          <w:rStyle w:val="Hyperlink"/>
        </w:rPr>
        <w:t xml:space="preserve">f </w:t>
      </w:r>
      <w:r>
        <w:t xml:space="preserve">For further observations on this see </w:t>
      </w:r>
      <w:r>
        <w:rPr>
          <w:lang w:val="en-US"/>
        </w:rPr>
        <w:t xml:space="preserve">Daphne Caruana </w:t>
      </w:r>
      <w:proofErr w:type="spellStart"/>
      <w:r>
        <w:rPr>
          <w:lang w:val="en-US"/>
        </w:rPr>
        <w:t>Galizia’s</w:t>
      </w:r>
      <w:proofErr w:type="spellEnd"/>
      <w:r>
        <w:rPr>
          <w:lang w:val="en-US"/>
        </w:rPr>
        <w:t xml:space="preserve"> Running Commentary, ‘Government publishes list of citizens </w:t>
      </w:r>
      <w:proofErr w:type="spellStart"/>
      <w:r>
        <w:rPr>
          <w:lang w:val="en-US"/>
        </w:rPr>
        <w:t>naturalised</w:t>
      </w:r>
      <w:proofErr w:type="spellEnd"/>
      <w:r>
        <w:rPr>
          <w:lang w:val="en-US"/>
        </w:rPr>
        <w:t xml:space="preserve"> last year’, 1 August 2015: </w:t>
      </w:r>
      <w:hyperlink r:id="rId37" w:history="1">
        <w:r w:rsidRPr="0024546F">
          <w:rPr>
            <w:rStyle w:val="Hyperlink"/>
            <w:lang w:val="en-US"/>
          </w:rPr>
          <w:t>https://daphnecaruanagalizia.com/2015/08/government-publishes-list-of-citizens-naturalised-last-year/</w:t>
        </w:r>
      </w:hyperlink>
      <w:r>
        <w:rPr>
          <w:lang w:val="en-US"/>
        </w:rPr>
        <w:t xml:space="preserve">. </w:t>
      </w:r>
    </w:p>
  </w:footnote>
  <w:footnote w:id="78">
    <w:p w14:paraId="14AF9977" w14:textId="77777777" w:rsidR="006C3500" w:rsidRPr="00191E35" w:rsidRDefault="006C3500" w:rsidP="00006A61">
      <w:pPr>
        <w:pStyle w:val="FootnoteText"/>
        <w:rPr>
          <w:lang w:val="en-US"/>
        </w:rPr>
      </w:pPr>
      <w:r>
        <w:rPr>
          <w:rStyle w:val="FootnoteReference"/>
        </w:rPr>
        <w:footnoteRef/>
      </w:r>
      <w:r>
        <w:t xml:space="preserve"> Times of Malta, ‘</w:t>
      </w:r>
      <w:r>
        <w:rPr>
          <w:lang w:val="en-US"/>
        </w:rPr>
        <w:t xml:space="preserve">PM promises citizenship list ‘in the coming days’, 19 December 2017: </w:t>
      </w:r>
      <w:hyperlink r:id="rId38" w:history="1">
        <w:r w:rsidRPr="00D208E0">
          <w:rPr>
            <w:rStyle w:val="Hyperlink"/>
            <w:lang w:val="en-US"/>
          </w:rPr>
          <w:t>https://www.timesofmalta.com/articles/view/20171219/local/pm-promises-citizenship-list-in-the-coming-days.666007</w:t>
        </w:r>
      </w:hyperlink>
      <w:r>
        <w:rPr>
          <w:lang w:val="en-US"/>
        </w:rPr>
        <w:t xml:space="preserve"> </w:t>
      </w:r>
    </w:p>
  </w:footnote>
  <w:footnote w:id="79">
    <w:p w14:paraId="2F9F2187" w14:textId="77777777" w:rsidR="006C3500" w:rsidRPr="00F26880" w:rsidRDefault="006C3500" w:rsidP="00006A61">
      <w:pPr>
        <w:pStyle w:val="FootnoteText"/>
        <w:rPr>
          <w:lang w:val="en-US"/>
        </w:rPr>
      </w:pPr>
      <w:r>
        <w:rPr>
          <w:rStyle w:val="FootnoteReference"/>
        </w:rPr>
        <w:footnoteRef/>
      </w:r>
      <w:r>
        <w:t xml:space="preserve"> </w:t>
      </w:r>
      <w:r>
        <w:rPr>
          <w:lang w:val="en-US"/>
        </w:rPr>
        <w:t xml:space="preserve">This has been commented upon in the media e.g. Times of Malta, ‘Citizenship list yet to be published’, 31 October 2017: </w:t>
      </w:r>
      <w:hyperlink r:id="rId39" w:history="1">
        <w:r w:rsidRPr="0024546F">
          <w:rPr>
            <w:rStyle w:val="Hyperlink"/>
            <w:lang w:val="en-US"/>
          </w:rPr>
          <w:t>https://www.timesofmalta.com/articles/view/20171031/local/citizenship-list-yet-to-be-published.661858</w:t>
        </w:r>
      </w:hyperlink>
    </w:p>
  </w:footnote>
  <w:footnote w:id="80">
    <w:p w14:paraId="33E1327A" w14:textId="77777777" w:rsidR="006C3500" w:rsidRPr="00A662B0" w:rsidRDefault="006C3500" w:rsidP="00A662B0">
      <w:pPr>
        <w:pStyle w:val="FootnoteText"/>
        <w:rPr>
          <w:lang w:val="en-US"/>
        </w:rPr>
      </w:pPr>
      <w:r>
        <w:rPr>
          <w:rStyle w:val="FootnoteReference"/>
        </w:rPr>
        <w:footnoteRef/>
      </w:r>
      <w:r>
        <w:t xml:space="preserve"> </w:t>
      </w:r>
      <w:r>
        <w:rPr>
          <w:lang w:val="en-US"/>
        </w:rPr>
        <w:t xml:space="preserve">The Malta Government Gazette, 22 December 2017, Government Notice 1434 – Persons </w:t>
      </w:r>
      <w:proofErr w:type="spellStart"/>
      <w:r>
        <w:rPr>
          <w:lang w:val="en-US"/>
        </w:rPr>
        <w:t>Naturalised</w:t>
      </w:r>
      <w:proofErr w:type="spellEnd"/>
      <w:r>
        <w:rPr>
          <w:lang w:val="en-US"/>
        </w:rPr>
        <w:t xml:space="preserve">/registered as Citizens of Malta: </w:t>
      </w:r>
      <w:hyperlink r:id="rId40" w:history="1">
        <w:r w:rsidRPr="00D208E0">
          <w:rPr>
            <w:rStyle w:val="Hyperlink"/>
            <w:lang w:val="en-US"/>
          </w:rPr>
          <w:t>http://www.gov.mt/en/Government/Government%20Gazette/Documents/12/Government%20Gazette%20-%2022nd%20December.pdf</w:t>
        </w:r>
      </w:hyperlink>
      <w:r>
        <w:rPr>
          <w:lang w:val="en-US"/>
        </w:rPr>
        <w:t xml:space="preserve"> </w:t>
      </w:r>
    </w:p>
  </w:footnote>
  <w:footnote w:id="81">
    <w:p w14:paraId="615A4A49" w14:textId="77777777" w:rsidR="006C3500" w:rsidRPr="00BF72B6" w:rsidRDefault="006C3500">
      <w:pPr>
        <w:pStyle w:val="FootnoteText"/>
        <w:rPr>
          <w:lang w:val="en-US"/>
        </w:rPr>
      </w:pPr>
      <w:r>
        <w:rPr>
          <w:rStyle w:val="FootnoteReference"/>
        </w:rPr>
        <w:footnoteRef/>
      </w:r>
      <w:r>
        <w:t xml:space="preserve"> </w:t>
      </w:r>
      <w:r>
        <w:rPr>
          <w:lang w:val="en-US"/>
        </w:rPr>
        <w:t xml:space="preserve">Times of Malta, ‘Passport buyers hidden among ‘new Maltese’: Over 2,00 on Government Gazette list’, 29 December 2017: </w:t>
      </w:r>
      <w:hyperlink r:id="rId41" w:history="1">
        <w:r w:rsidRPr="00D208E0">
          <w:rPr>
            <w:rStyle w:val="Hyperlink"/>
            <w:lang w:val="en-US"/>
          </w:rPr>
          <w:t>https://www.timesofmalta.com/articles/view/20171229/local/passport-buyers-hidden-among-new-maltese.666680</w:t>
        </w:r>
      </w:hyperlink>
      <w:r>
        <w:rPr>
          <w:lang w:val="en-US"/>
        </w:rPr>
        <w:t>. This article also contains a link to an unofficial document sorting the list by surname.</w:t>
      </w:r>
    </w:p>
  </w:footnote>
  <w:footnote w:id="82">
    <w:p w14:paraId="5FE0B5CC"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42" w:history="1">
        <w:r w:rsidRPr="00437890">
          <w:rPr>
            <w:rStyle w:val="Hyperlink"/>
          </w:rPr>
          <w:t>https://oriip.gov.mt/en/Documents/Reports/Annual%20Report%202016.pdf</w:t>
        </w:r>
      </w:hyperlink>
      <w:r w:rsidRPr="00437890">
        <w:t xml:space="preserve"> </w:t>
      </w:r>
    </w:p>
  </w:footnote>
  <w:footnote w:id="83">
    <w:p w14:paraId="4AAB46CC"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xml:space="preserve">), First Annual Report on the IIP Programme of the Government of Malta, October 2014, p. 22: </w:t>
      </w:r>
      <w:hyperlink r:id="rId43" w:history="1">
        <w:r w:rsidRPr="00437890">
          <w:rPr>
            <w:rStyle w:val="Hyperlink"/>
          </w:rPr>
          <w:t>https://oriip.gov.mt/en/Documents/Reports/Annual%20Report%202014.pdf</w:t>
        </w:r>
      </w:hyperlink>
      <w:r w:rsidRPr="00437890">
        <w:t xml:space="preserve"> </w:t>
      </w:r>
    </w:p>
  </w:footnote>
  <w:footnote w:id="84">
    <w:p w14:paraId="27C7EB55"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xml:space="preserve">), Second Annual Report on the IIP Programme of the Government of Malta, October 2015, p. 6: </w:t>
      </w:r>
      <w:hyperlink r:id="rId44" w:history="1">
        <w:r w:rsidRPr="00437890">
          <w:rPr>
            <w:rStyle w:val="Hyperlink"/>
          </w:rPr>
          <w:t>https://oriip.gov.mt/en/Documents/Reports/Annual%20Report%202015.pdf</w:t>
        </w:r>
      </w:hyperlink>
      <w:r w:rsidRPr="00437890">
        <w:t xml:space="preserve"> </w:t>
      </w:r>
    </w:p>
  </w:footnote>
  <w:footnote w:id="85">
    <w:p w14:paraId="3B9BF2F2"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45" w:history="1">
        <w:r w:rsidRPr="00437890">
          <w:rPr>
            <w:rStyle w:val="Hyperlink"/>
          </w:rPr>
          <w:t>https://oriip.gov.mt/en/Documents/Reports/Annual%20Report%202016.pdf</w:t>
        </w:r>
      </w:hyperlink>
      <w:r w:rsidRPr="00437890">
        <w:t xml:space="preserve"> </w:t>
      </w:r>
    </w:p>
  </w:footnote>
  <w:footnote w:id="86">
    <w:p w14:paraId="68C40A4C"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Fourth Annual Report on the Individual Investor Programme of the Government of Malta (1</w:t>
      </w:r>
      <w:r w:rsidRPr="00437890">
        <w:rPr>
          <w:vertAlign w:val="superscript"/>
        </w:rPr>
        <w:t>st</w:t>
      </w:r>
      <w:r w:rsidRPr="00437890">
        <w:t xml:space="preserve"> July 2016 – 30</w:t>
      </w:r>
      <w:r w:rsidRPr="00437890">
        <w:rPr>
          <w:vertAlign w:val="superscript"/>
        </w:rPr>
        <w:t>th</w:t>
      </w:r>
      <w:r w:rsidRPr="00437890">
        <w:t xml:space="preserve"> June 2017), November 2017, p.9: </w:t>
      </w:r>
      <w:hyperlink r:id="rId46" w:history="1">
        <w:r w:rsidRPr="00437890">
          <w:rPr>
            <w:rStyle w:val="Hyperlink"/>
          </w:rPr>
          <w:t>https://oriip.gov.mt/en/Documents/Reports/Annual%20Report%202017.pdf</w:t>
        </w:r>
      </w:hyperlink>
      <w:r w:rsidRPr="00437890">
        <w:t xml:space="preserve"> </w:t>
      </w:r>
    </w:p>
  </w:footnote>
  <w:footnote w:id="87">
    <w:p w14:paraId="43CC0463"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xml:space="preserve">), First Annual Report on the IIP Programme of the Government of Malta, October 2014, p. 22: </w:t>
      </w:r>
      <w:hyperlink r:id="rId47" w:history="1">
        <w:r w:rsidRPr="00437890">
          <w:rPr>
            <w:rStyle w:val="Hyperlink"/>
          </w:rPr>
          <w:t>https://oriip.gov.mt/en/Documents/Reports/Annual%20Report%202014.pdf</w:t>
        </w:r>
      </w:hyperlink>
      <w:r w:rsidRPr="00437890">
        <w:t xml:space="preserve"> </w:t>
      </w:r>
    </w:p>
  </w:footnote>
  <w:footnote w:id="88">
    <w:p w14:paraId="04D130B2" w14:textId="77777777" w:rsidR="006C3500" w:rsidRPr="00437890"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xml:space="preserve">), Second Annual Report on the IIP Programme of the Government of Malta, October 2015, p. 6: </w:t>
      </w:r>
      <w:hyperlink r:id="rId48" w:history="1">
        <w:r w:rsidRPr="00437890">
          <w:rPr>
            <w:rStyle w:val="Hyperlink"/>
          </w:rPr>
          <w:t>https://oriip.gov.mt/en/Documents/Reports/Annual%20Report%202015.pdf</w:t>
        </w:r>
      </w:hyperlink>
      <w:r w:rsidRPr="00437890">
        <w:t xml:space="preserve"> </w:t>
      </w:r>
    </w:p>
  </w:footnote>
  <w:footnote w:id="89">
    <w:p w14:paraId="6845D143" w14:textId="77777777" w:rsidR="006C3500" w:rsidRPr="009205D9" w:rsidRDefault="006C3500" w:rsidP="00006A61">
      <w:pPr>
        <w:pStyle w:val="FootnoteText"/>
        <w:rPr>
          <w:lang w:val="en-US"/>
        </w:rPr>
      </w:pPr>
      <w:r w:rsidRPr="00437890">
        <w:rPr>
          <w:rStyle w:val="FootnoteReference"/>
        </w:rPr>
        <w:footnoteRef/>
      </w:r>
      <w:r w:rsidRPr="00437890">
        <w:t xml:space="preserve"> Office of the Regulator Individual Investor Programme (</w:t>
      </w:r>
      <w:proofErr w:type="spellStart"/>
      <w:r w:rsidRPr="00437890">
        <w:t>ORiip</w:t>
      </w:r>
      <w:proofErr w:type="spellEnd"/>
      <w:r w:rsidRPr="00437890">
        <w:t>), Third Annual Report on the Individual Investor Programme of the Government of Malta (1</w:t>
      </w:r>
      <w:r w:rsidRPr="00437890">
        <w:rPr>
          <w:vertAlign w:val="superscript"/>
        </w:rPr>
        <w:t>st</w:t>
      </w:r>
      <w:r w:rsidRPr="00437890">
        <w:t xml:space="preserve"> July 2015 – 30</w:t>
      </w:r>
      <w:r w:rsidRPr="00437890">
        <w:rPr>
          <w:vertAlign w:val="superscript"/>
        </w:rPr>
        <w:t>th</w:t>
      </w:r>
      <w:r w:rsidRPr="00437890">
        <w:t xml:space="preserve"> June 2016), October 2016, p.3: </w:t>
      </w:r>
      <w:hyperlink r:id="rId49" w:history="1">
        <w:r w:rsidRPr="00437890">
          <w:rPr>
            <w:rStyle w:val="Hyperlink"/>
          </w:rPr>
          <w:t>https://oriip.gov.mt/en/Documents/Reports/Annual%20Report%202016.pdf</w:t>
        </w:r>
      </w:hyperlink>
      <w:r>
        <w:t xml:space="preserve"> </w:t>
      </w:r>
    </w:p>
  </w:footnote>
  <w:footnote w:id="90">
    <w:p w14:paraId="5979E4CF" w14:textId="77777777" w:rsidR="006C3500" w:rsidRPr="009205D9"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p.9: </w:t>
      </w:r>
      <w:hyperlink r:id="rId50" w:history="1">
        <w:r w:rsidRPr="00D208E0">
          <w:rPr>
            <w:rStyle w:val="Hyperlink"/>
          </w:rPr>
          <w:t>https://oriip.gov.mt/en/Documents/Reports/Annual%20Report%202017.pdf</w:t>
        </w:r>
      </w:hyperlink>
      <w:r>
        <w:t xml:space="preserve"> </w:t>
      </w:r>
    </w:p>
  </w:footnote>
  <w:footnote w:id="91">
    <w:p w14:paraId="344BC180" w14:textId="77777777" w:rsidR="006C3500" w:rsidRPr="004650F6" w:rsidRDefault="006C3500" w:rsidP="00006A61">
      <w:pPr>
        <w:pStyle w:val="FootnoteText"/>
        <w:rPr>
          <w:lang w:val="en-US"/>
        </w:rPr>
      </w:pPr>
      <w:r>
        <w:rPr>
          <w:rStyle w:val="FootnoteReference"/>
        </w:rPr>
        <w:footnoteRef/>
      </w:r>
      <w:r>
        <w:t xml:space="preserve"> </w:t>
      </w:r>
      <w:r>
        <w:rPr>
          <w:lang w:val="en-US"/>
        </w:rPr>
        <w:t>Regulation 2 of LN 47/2014.</w:t>
      </w:r>
    </w:p>
  </w:footnote>
  <w:footnote w:id="92">
    <w:p w14:paraId="594B1F58" w14:textId="77777777" w:rsidR="006C3500" w:rsidRPr="009654C9" w:rsidRDefault="006C3500" w:rsidP="00006A61">
      <w:pPr>
        <w:pStyle w:val="FootnoteText"/>
        <w:rPr>
          <w:lang w:val="en-US"/>
        </w:rPr>
      </w:pPr>
      <w:r>
        <w:rPr>
          <w:rStyle w:val="FootnoteReference"/>
        </w:rPr>
        <w:footnoteRef/>
      </w:r>
      <w:r>
        <w:t xml:space="preserve"> </w:t>
      </w:r>
      <w:r>
        <w:rPr>
          <w:lang w:val="en-US"/>
        </w:rPr>
        <w:t>Regulation 4(5) of LN 47/2014.</w:t>
      </w:r>
    </w:p>
  </w:footnote>
  <w:footnote w:id="93">
    <w:p w14:paraId="31FE56A0" w14:textId="77777777" w:rsidR="006C3500" w:rsidRPr="001E76E4" w:rsidRDefault="006C3500" w:rsidP="00006A61">
      <w:pPr>
        <w:pStyle w:val="FootnoteText"/>
        <w:rPr>
          <w:lang w:val="en-US"/>
        </w:rPr>
      </w:pPr>
      <w:r>
        <w:rPr>
          <w:rStyle w:val="FootnoteReference"/>
        </w:rPr>
        <w:footnoteRef/>
      </w:r>
      <w:r>
        <w:t xml:space="preserve"> </w:t>
      </w:r>
      <w:r>
        <w:rPr>
          <w:lang w:val="en-US"/>
        </w:rPr>
        <w:t>Regulation 4(7) of LN 47/2014.</w:t>
      </w:r>
    </w:p>
  </w:footnote>
  <w:footnote w:id="94">
    <w:p w14:paraId="054E01EF" w14:textId="77777777" w:rsidR="006C3500" w:rsidRPr="001C22AD" w:rsidRDefault="006C3500">
      <w:pPr>
        <w:pStyle w:val="FootnoteText"/>
        <w:rPr>
          <w:lang w:val="en-US"/>
        </w:rPr>
      </w:pPr>
      <w:r>
        <w:rPr>
          <w:rStyle w:val="FootnoteReference"/>
        </w:rPr>
        <w:footnoteRef/>
      </w:r>
      <w:r>
        <w:t xml:space="preserve"> </w:t>
      </w:r>
      <w:r w:rsidRPr="00882C9A">
        <w:t>For the purposes of this Table, the term ‘investment’ covers any pecuniary disbursement required as part of the process for obtaining citizenship under the investors’ citizenship scheme.</w:t>
      </w:r>
    </w:p>
  </w:footnote>
  <w:footnote w:id="95">
    <w:p w14:paraId="0C959702" w14:textId="1405995A" w:rsidR="006C3500" w:rsidRDefault="006C3500">
      <w:pPr>
        <w:pStyle w:val="FootnoteText"/>
      </w:pPr>
      <w:r>
        <w:rPr>
          <w:rStyle w:val="FootnoteReference"/>
        </w:rPr>
        <w:footnoteRef/>
      </w:r>
      <w:r>
        <w:t xml:space="preserve"> Information obtained through consultation with Identity Malta representatives on 8 March 2018.</w:t>
      </w:r>
    </w:p>
  </w:footnote>
  <w:footnote w:id="96">
    <w:p w14:paraId="22D71842" w14:textId="5D337E69" w:rsidR="006C3500" w:rsidRDefault="006C3500">
      <w:pPr>
        <w:pStyle w:val="FootnoteText"/>
      </w:pPr>
      <w:r>
        <w:rPr>
          <w:rStyle w:val="FootnoteReference"/>
        </w:rPr>
        <w:footnoteRef/>
      </w:r>
      <w:r>
        <w:t xml:space="preserve"> Information obtained through consultation with Identity Malta representatives on 8 March 2018.</w:t>
      </w:r>
    </w:p>
  </w:footnote>
  <w:footnote w:id="97">
    <w:p w14:paraId="0CD64357" w14:textId="77777777" w:rsidR="006C3500" w:rsidRDefault="006C3500" w:rsidP="00382240">
      <w:pPr>
        <w:pStyle w:val="FootnoteText"/>
      </w:pPr>
      <w:r>
        <w:rPr>
          <w:rStyle w:val="FootnoteReference"/>
        </w:rPr>
        <w:footnoteRef/>
      </w:r>
      <w:r>
        <w:t xml:space="preserve"> Information confirmed through consultation with Identity Malta representatives on 8 March 2018.</w:t>
      </w:r>
    </w:p>
  </w:footnote>
  <w:footnote w:id="98">
    <w:p w14:paraId="340EA613" w14:textId="2DE31704" w:rsidR="006C3500" w:rsidRDefault="006C3500">
      <w:pPr>
        <w:pStyle w:val="FootnoteText"/>
      </w:pPr>
      <w:r>
        <w:rPr>
          <w:rStyle w:val="FootnoteReference"/>
        </w:rPr>
        <w:footnoteRef/>
      </w:r>
      <w:r>
        <w:t xml:space="preserve"> Information obtained through consultation with Identity Malta representatives on 8 March 2018.</w:t>
      </w:r>
    </w:p>
  </w:footnote>
  <w:footnote w:id="99">
    <w:p w14:paraId="1761E517" w14:textId="77777777" w:rsidR="006C3500" w:rsidRPr="0068007E" w:rsidRDefault="006C3500" w:rsidP="004A411F">
      <w:pPr>
        <w:pStyle w:val="FootnoteText"/>
        <w:rPr>
          <w:lang w:val="en-US"/>
        </w:rPr>
      </w:pPr>
      <w:r>
        <w:rPr>
          <w:rStyle w:val="FootnoteReference"/>
        </w:rPr>
        <w:footnoteRef/>
      </w:r>
      <w:r>
        <w:t xml:space="preserve"> </w:t>
      </w:r>
      <w:r w:rsidRPr="00DB0959">
        <w:t>Information confirmed through stakeholder consultation with Identity Malta representatives on 8 March 2018.</w:t>
      </w:r>
    </w:p>
  </w:footnote>
  <w:footnote w:id="100">
    <w:p w14:paraId="598A27E4" w14:textId="57D5A0F2" w:rsidR="006C3500" w:rsidRPr="009D33C1" w:rsidRDefault="006C3500">
      <w:pPr>
        <w:pStyle w:val="FootnoteText"/>
        <w:rPr>
          <w:lang w:val="en-US"/>
        </w:rPr>
      </w:pPr>
      <w:r>
        <w:rPr>
          <w:rStyle w:val="FootnoteReference"/>
        </w:rPr>
        <w:footnoteRef/>
      </w:r>
      <w:r>
        <w:t xml:space="preserve"> </w:t>
      </w:r>
      <w:r>
        <w:rPr>
          <w:lang w:val="en-US"/>
        </w:rPr>
        <w:t xml:space="preserve">Identity Malta, </w:t>
      </w:r>
      <w:r w:rsidRPr="009D33C1">
        <w:rPr>
          <w:i/>
          <w:lang w:val="en-US"/>
        </w:rPr>
        <w:t xml:space="preserve">Individual Investor </w:t>
      </w:r>
      <w:proofErr w:type="spellStart"/>
      <w:r w:rsidRPr="009D33C1">
        <w:rPr>
          <w:i/>
          <w:lang w:val="en-US"/>
        </w:rPr>
        <w:t>Programme</w:t>
      </w:r>
      <w:proofErr w:type="spellEnd"/>
      <w:r>
        <w:rPr>
          <w:lang w:val="en-US"/>
        </w:rPr>
        <w:t xml:space="preserve"> brochure, received from Identity Malta in February 2018, p. 10</w:t>
      </w:r>
    </w:p>
  </w:footnote>
  <w:footnote w:id="101">
    <w:p w14:paraId="6B8387C0" w14:textId="398C40C0" w:rsidR="006C3500" w:rsidRPr="003F5744" w:rsidRDefault="006C3500" w:rsidP="00E71F64">
      <w:pPr>
        <w:pStyle w:val="FootnoteText"/>
        <w:rPr>
          <w:lang w:val="en-US"/>
        </w:rPr>
      </w:pPr>
      <w:r>
        <w:rPr>
          <w:rStyle w:val="FootnoteReference"/>
        </w:rPr>
        <w:footnoteRef/>
      </w:r>
      <w:r>
        <w:t xml:space="preserve"> </w:t>
      </w:r>
      <w:r>
        <w:rPr>
          <w:lang w:val="en-US"/>
        </w:rPr>
        <w:t xml:space="preserve">Identity Malta, </w:t>
      </w:r>
      <w:r w:rsidRPr="007D436F">
        <w:rPr>
          <w:i/>
          <w:lang w:val="en-US"/>
        </w:rPr>
        <w:t xml:space="preserve">Individual Investor </w:t>
      </w:r>
      <w:proofErr w:type="spellStart"/>
      <w:r w:rsidRPr="007D436F">
        <w:rPr>
          <w:i/>
          <w:lang w:val="en-US"/>
        </w:rPr>
        <w:t>Programme</w:t>
      </w:r>
      <w:proofErr w:type="spellEnd"/>
      <w:r>
        <w:rPr>
          <w:lang w:val="en-US"/>
        </w:rPr>
        <w:t xml:space="preserve"> brochure, received from Identity Malta in February 2018, p. 10</w:t>
      </w:r>
    </w:p>
  </w:footnote>
  <w:footnote w:id="102">
    <w:p w14:paraId="1CACDE15" w14:textId="77777777" w:rsidR="006C3500" w:rsidRPr="008C2D39"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31: </w:t>
      </w:r>
      <w:hyperlink r:id="rId51" w:history="1">
        <w:r w:rsidRPr="00D208E0">
          <w:rPr>
            <w:rStyle w:val="Hyperlink"/>
          </w:rPr>
          <w:t>https://oriip.gov.mt/en/Documents/Reports/Annual%20Report%202017.pdf</w:t>
        </w:r>
      </w:hyperlink>
      <w:r>
        <w:t xml:space="preserve"> </w:t>
      </w:r>
    </w:p>
  </w:footnote>
  <w:footnote w:id="103">
    <w:p w14:paraId="2ED07E35" w14:textId="77777777" w:rsidR="006C3500" w:rsidRPr="00230D7C" w:rsidRDefault="006C3500" w:rsidP="00006A61">
      <w:pPr>
        <w:pStyle w:val="FootnoteText"/>
        <w:rPr>
          <w:lang w:val="en-US"/>
        </w:rPr>
      </w:pPr>
      <w:r>
        <w:rPr>
          <w:rStyle w:val="FootnoteReference"/>
        </w:rPr>
        <w:footnoteRef/>
      </w:r>
      <w:r>
        <w:t xml:space="preserve"> Identity Malta Agency, ‘Frequently Asked Questions - Residency’, available at </w:t>
      </w:r>
      <w:hyperlink r:id="rId52" w:history="1">
        <w:r w:rsidRPr="00FE7C4A">
          <w:rPr>
            <w:rStyle w:val="Hyperlink"/>
          </w:rPr>
          <w:t>http://iip.gov.mt/faqs/</w:t>
        </w:r>
      </w:hyperlink>
      <w:r>
        <w:t xml:space="preserve">. See also Identity Malta Agency, ‘Malta Individual Investor Programme Checklist and Guidelines’, Version 2.0 – 2015, p. 3: </w:t>
      </w:r>
      <w:hyperlink r:id="rId53" w:history="1">
        <w:r w:rsidRPr="007A380C">
          <w:rPr>
            <w:rStyle w:val="Hyperlink"/>
          </w:rPr>
          <w:t>http://iip.gov.mt/wp-content/uploads/2014/02/MIIP-Checklist-and-Guidelines-V2-1.pdf</w:t>
        </w:r>
      </w:hyperlink>
    </w:p>
  </w:footnote>
  <w:footnote w:id="104">
    <w:p w14:paraId="0F868209" w14:textId="77777777" w:rsidR="006C3500" w:rsidRPr="006B7059" w:rsidRDefault="006C3500" w:rsidP="00006A61">
      <w:pPr>
        <w:pStyle w:val="FootnoteText"/>
        <w:rPr>
          <w:lang w:val="en-US"/>
        </w:rPr>
      </w:pPr>
      <w:r>
        <w:rPr>
          <w:rStyle w:val="FootnoteReference"/>
        </w:rPr>
        <w:footnoteRef/>
      </w:r>
      <w:r>
        <w:t xml:space="preserve"> </w:t>
      </w:r>
      <w:r w:rsidRPr="00580CF7">
        <w:t xml:space="preserve">Office of the Regulator Individual Investor Programme </w:t>
      </w:r>
      <w:r w:rsidRPr="00437890">
        <w:t>(</w:t>
      </w:r>
      <w:proofErr w:type="spellStart"/>
      <w:r w:rsidRPr="00437890">
        <w:t>ORiip</w:t>
      </w:r>
      <w:proofErr w:type="spellEnd"/>
      <w:r w:rsidRPr="00437890">
        <w:t xml:space="preserve">), Second Annual Report on the IIP Programme of the Government of Malta, October 2015, Appendix II: </w:t>
      </w:r>
      <w:hyperlink r:id="rId54" w:history="1">
        <w:r w:rsidRPr="00437890">
          <w:rPr>
            <w:rStyle w:val="Hyperlink"/>
          </w:rPr>
          <w:t>https://oriip.gov.mt/en/Documents/Reports/Annual%20Report%202015.pdf</w:t>
        </w:r>
      </w:hyperlink>
      <w:r>
        <w:t xml:space="preserve"> </w:t>
      </w:r>
    </w:p>
  </w:footnote>
  <w:footnote w:id="105">
    <w:p w14:paraId="36375163" w14:textId="77777777" w:rsidR="006C3500" w:rsidRPr="008C2D39"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31: </w:t>
      </w:r>
      <w:hyperlink r:id="rId55" w:history="1">
        <w:r w:rsidRPr="00D208E0">
          <w:rPr>
            <w:rStyle w:val="Hyperlink"/>
          </w:rPr>
          <w:t>https://oriip.gov.mt/en/Documents/Reports/Annual%20Report%202017.pdf</w:t>
        </w:r>
      </w:hyperlink>
      <w:r>
        <w:t xml:space="preserve"> </w:t>
      </w:r>
    </w:p>
  </w:footnote>
  <w:footnote w:id="106">
    <w:p w14:paraId="033A0CB3" w14:textId="77777777" w:rsidR="006C3500" w:rsidRPr="001D1235"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32: </w:t>
      </w:r>
      <w:hyperlink r:id="rId56" w:history="1">
        <w:r w:rsidRPr="00D208E0">
          <w:rPr>
            <w:rStyle w:val="Hyperlink"/>
          </w:rPr>
          <w:t>https://oriip.gov.mt/en/Documents/Reports/Annual%20Report%202017.pdf</w:t>
        </w:r>
      </w:hyperlink>
      <w:r>
        <w:t xml:space="preserve"> </w:t>
      </w:r>
    </w:p>
  </w:footnote>
  <w:footnote w:id="107">
    <w:p w14:paraId="2C1D936F" w14:textId="1D886488" w:rsidR="006C3500" w:rsidRPr="00B85F19" w:rsidRDefault="006C3500">
      <w:pPr>
        <w:pStyle w:val="FootnoteText"/>
        <w:rPr>
          <w:lang w:val="en-US"/>
        </w:rPr>
      </w:pPr>
      <w:r>
        <w:rPr>
          <w:rStyle w:val="FootnoteReference"/>
        </w:rPr>
        <w:footnoteRef/>
      </w:r>
      <w:r>
        <w:t xml:space="preserve"> </w:t>
      </w:r>
      <w:r w:rsidRPr="00DB0959">
        <w:t>Information confirmed through stakeholder consultation with Identity Malta representatives on 8 March 2018.</w:t>
      </w:r>
    </w:p>
  </w:footnote>
  <w:footnote w:id="108">
    <w:p w14:paraId="637CB944" w14:textId="727158D0" w:rsidR="006C3500" w:rsidRPr="009D33C1" w:rsidRDefault="006C3500">
      <w:pPr>
        <w:pStyle w:val="FootnoteText"/>
        <w:rPr>
          <w:lang w:val="en-US"/>
        </w:rPr>
      </w:pPr>
      <w:r>
        <w:rPr>
          <w:rStyle w:val="FootnoteReference"/>
        </w:rPr>
        <w:footnoteRef/>
      </w:r>
      <w:r>
        <w:t xml:space="preserve"> </w:t>
      </w:r>
      <w:r>
        <w:rPr>
          <w:lang w:val="en-US"/>
        </w:rPr>
        <w:t>Information received during stakeholder consultation with Identity Malta representatives, 8 March 2018.</w:t>
      </w:r>
    </w:p>
  </w:footnote>
  <w:footnote w:id="109">
    <w:p w14:paraId="2C485221" w14:textId="77777777" w:rsidR="006C3500" w:rsidRPr="008C2D39"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31: </w:t>
      </w:r>
      <w:hyperlink r:id="rId57" w:history="1">
        <w:r w:rsidRPr="00D208E0">
          <w:rPr>
            <w:rStyle w:val="Hyperlink"/>
          </w:rPr>
          <w:t>https://oriip.gov.mt/en/Documents/Reports/Annual%20Report%202017.pdf</w:t>
        </w:r>
      </w:hyperlink>
      <w:r>
        <w:t xml:space="preserve"> </w:t>
      </w:r>
    </w:p>
  </w:footnote>
  <w:footnote w:id="110">
    <w:p w14:paraId="45EF8569" w14:textId="3015B961" w:rsidR="006C3500" w:rsidRDefault="006C3500">
      <w:pPr>
        <w:pStyle w:val="FootnoteText"/>
      </w:pPr>
      <w:r>
        <w:rPr>
          <w:rStyle w:val="FootnoteReference"/>
        </w:rPr>
        <w:footnoteRef/>
      </w:r>
      <w:r>
        <w:t xml:space="preserve"> </w:t>
      </w:r>
      <w:r>
        <w:rPr>
          <w:lang w:val="en-US"/>
        </w:rPr>
        <w:t>Information confirmed through stakeholder consultation with Identity Malta representatives on 8 March 2018. This is in line with Regulation 7(2) of LN 47/2014 that states that the ‘due diligence checks shall be of a four tier nature’ without further specification.</w:t>
      </w:r>
    </w:p>
  </w:footnote>
  <w:footnote w:id="111">
    <w:p w14:paraId="6090BDE8" w14:textId="1FB8C53F" w:rsidR="006C3500" w:rsidRDefault="006C3500" w:rsidP="008A6219">
      <w:pPr>
        <w:pStyle w:val="FootnoteText"/>
      </w:pPr>
      <w:r>
        <w:rPr>
          <w:rStyle w:val="FootnoteReference"/>
        </w:rPr>
        <w:footnoteRef/>
      </w:r>
      <w:r>
        <w:t xml:space="preserve"> This team is </w:t>
      </w:r>
      <w:r w:rsidRPr="00797638">
        <w:rPr>
          <w:bCs/>
          <w:lang w:val="en-US"/>
        </w:rPr>
        <w:t>composed of eight individuals with a background in banking and audit and who are trained in anti-money laundering regulations</w:t>
      </w:r>
      <w:r>
        <w:rPr>
          <w:bCs/>
          <w:lang w:val="en-US"/>
        </w:rPr>
        <w:t xml:space="preserve"> – Information provided by Identity Malta representatives during the stakeholder consultation on 8 March 2018.</w:t>
      </w:r>
    </w:p>
  </w:footnote>
  <w:footnote w:id="112">
    <w:p w14:paraId="5D2E0946" w14:textId="766DFEF4"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13">
    <w:p w14:paraId="6D837708" w14:textId="77777777" w:rsidR="006C3500" w:rsidRPr="00F2571F" w:rsidRDefault="006C3500" w:rsidP="00006A61">
      <w:pPr>
        <w:pStyle w:val="FootnoteText"/>
        <w:rPr>
          <w:lang w:val="nn-NO"/>
        </w:rPr>
      </w:pPr>
      <w:r>
        <w:rPr>
          <w:rStyle w:val="FootnoteReference"/>
        </w:rPr>
        <w:footnoteRef/>
      </w:r>
      <w:r w:rsidRPr="00F2571F">
        <w:rPr>
          <w:lang w:val="nn-NO"/>
        </w:rPr>
        <w:t xml:space="preserve"> Form SSFW: </w:t>
      </w:r>
      <w:hyperlink r:id="rId58" w:history="1">
        <w:r w:rsidRPr="00F2571F">
          <w:rPr>
            <w:rStyle w:val="Hyperlink"/>
            <w:lang w:val="nn-NO"/>
          </w:rPr>
          <w:t>http://iip.gov.mt/wp-content/uploads/2014/01/MIIP-Form-SSFW3.pdf</w:t>
        </w:r>
      </w:hyperlink>
      <w:r w:rsidRPr="00F2571F">
        <w:rPr>
          <w:lang w:val="nn-NO"/>
        </w:rPr>
        <w:t xml:space="preserve">. </w:t>
      </w:r>
    </w:p>
  </w:footnote>
  <w:footnote w:id="114">
    <w:p w14:paraId="677A4CD7" w14:textId="77777777" w:rsidR="006C3500" w:rsidRPr="00EB3617" w:rsidRDefault="006C3500" w:rsidP="00006A61">
      <w:pPr>
        <w:pStyle w:val="FootnoteText"/>
        <w:rPr>
          <w:lang w:val="en-US"/>
        </w:rPr>
      </w:pPr>
      <w:r>
        <w:rPr>
          <w:rStyle w:val="FootnoteReference"/>
        </w:rPr>
        <w:footnoteRef/>
      </w:r>
      <w:r w:rsidRPr="00F2571F">
        <w:rPr>
          <w:lang w:val="nn-NO"/>
        </w:rPr>
        <w:t xml:space="preserve"> Form PDFEE: </w:t>
      </w:r>
      <w:hyperlink r:id="rId59" w:history="1">
        <w:r w:rsidRPr="00F2571F">
          <w:rPr>
            <w:rStyle w:val="Hyperlink"/>
            <w:lang w:val="nn-NO"/>
          </w:rPr>
          <w:t>http://iip.gov.mt/wp-content/uploads/2014/01/MIIP-Form-PDFEE3.pdf</w:t>
        </w:r>
      </w:hyperlink>
      <w:r w:rsidRPr="00F2571F">
        <w:rPr>
          <w:lang w:val="nn-NO"/>
        </w:rPr>
        <w:t xml:space="preserve">. </w:t>
      </w:r>
      <w:r>
        <w:rPr>
          <w:lang w:val="en-US"/>
        </w:rPr>
        <w:t xml:space="preserve">In addition to Form SSFW and PDFEE, applicants must complete Form PSC (Photograph and Signature Creation: </w:t>
      </w:r>
      <w:hyperlink r:id="rId60" w:history="1">
        <w:r w:rsidRPr="007A380C">
          <w:rPr>
            <w:rStyle w:val="Hyperlink"/>
            <w:lang w:val="en-US"/>
          </w:rPr>
          <w:t>http://iip.gov.mt/wp-content/uploads/2014/01/MIIP-Form-PSC2.pdf</w:t>
        </w:r>
      </w:hyperlink>
      <w:r>
        <w:rPr>
          <w:lang w:val="en-US"/>
        </w:rPr>
        <w:t xml:space="preserve"> and Form MRQ (Medical Report and Questionnaire): </w:t>
      </w:r>
      <w:hyperlink r:id="rId61" w:history="1">
        <w:r w:rsidRPr="007A380C">
          <w:rPr>
            <w:rStyle w:val="Hyperlink"/>
            <w:lang w:val="en-US"/>
          </w:rPr>
          <w:t>http://iip.gov.mt/wp-content/uploads/2014/01/MIIP-Form-MRQ3.pdf</w:t>
        </w:r>
      </w:hyperlink>
      <w:r>
        <w:rPr>
          <w:lang w:val="en-US"/>
        </w:rPr>
        <w:t xml:space="preserve">. </w:t>
      </w:r>
    </w:p>
  </w:footnote>
  <w:footnote w:id="115">
    <w:p w14:paraId="59E2B357" w14:textId="77777777" w:rsidR="006C3500" w:rsidRPr="00723677" w:rsidRDefault="006C3500" w:rsidP="00006A61">
      <w:pPr>
        <w:pStyle w:val="FootnoteText"/>
        <w:rPr>
          <w:lang w:val="en-US"/>
        </w:rPr>
      </w:pPr>
      <w:r>
        <w:rPr>
          <w:rStyle w:val="FootnoteReference"/>
        </w:rPr>
        <w:footnoteRef/>
      </w:r>
      <w:r>
        <w:t xml:space="preserve"> Identity Malta Agency, ‘Malta Individual Investor Programme Checklist and Guidelines’, Version 2.0 – 2015, p. 14/15: </w:t>
      </w:r>
      <w:hyperlink r:id="rId62" w:history="1">
        <w:r w:rsidRPr="007A380C">
          <w:rPr>
            <w:rStyle w:val="Hyperlink"/>
          </w:rPr>
          <w:t>http://iip.gov.mt/wp-content/uploads/2014/02/MIIP-Checklist-and-Guidelines-V2-1.pdf</w:t>
        </w:r>
      </w:hyperlink>
      <w:r>
        <w:t>.</w:t>
      </w:r>
    </w:p>
  </w:footnote>
  <w:footnote w:id="116">
    <w:p w14:paraId="08462741" w14:textId="09BC6A55"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17">
    <w:p w14:paraId="23EEDA2F" w14:textId="1C47E34C"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18">
    <w:p w14:paraId="1624055C" w14:textId="02E9D1C2" w:rsidR="006C3500" w:rsidRDefault="006C3500">
      <w:pPr>
        <w:pStyle w:val="FootnoteText"/>
      </w:pPr>
      <w:r>
        <w:rPr>
          <w:rStyle w:val="FootnoteReference"/>
        </w:rPr>
        <w:footnoteRef/>
      </w:r>
      <w:r>
        <w:t xml:space="preserve"> </w:t>
      </w:r>
      <w:r w:rsidRPr="007E0DC1">
        <w:t>http://www.fiumalta.org</w:t>
      </w:r>
    </w:p>
  </w:footnote>
  <w:footnote w:id="119">
    <w:p w14:paraId="5BA0F93A" w14:textId="0CE798BA"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20">
    <w:p w14:paraId="3F8A4CAD" w14:textId="3A9999A6"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21">
    <w:p w14:paraId="0B82659D" w14:textId="4E46BC89"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22">
    <w:p w14:paraId="4EC452CB" w14:textId="67971861" w:rsidR="006C3500" w:rsidRDefault="006C3500">
      <w:pPr>
        <w:pStyle w:val="FootnoteText"/>
      </w:pPr>
      <w:r>
        <w:rPr>
          <w:rStyle w:val="FootnoteReference"/>
        </w:rPr>
        <w:footnoteRef/>
      </w:r>
      <w:r>
        <w:t xml:space="preserve"> </w:t>
      </w:r>
      <w:r>
        <w:rPr>
          <w:lang w:val="en-US"/>
        </w:rPr>
        <w:t>Information obtained through stakeholder consultation with Identity Malta representatives on 8 March 2018.</w:t>
      </w:r>
    </w:p>
  </w:footnote>
  <w:footnote w:id="123">
    <w:p w14:paraId="74DAB025" w14:textId="77777777" w:rsidR="006C3500" w:rsidRPr="004650F6" w:rsidRDefault="006C3500" w:rsidP="00006A61">
      <w:pPr>
        <w:pStyle w:val="FootnoteText"/>
        <w:rPr>
          <w:lang w:val="en-US"/>
        </w:rPr>
      </w:pPr>
      <w:r>
        <w:rPr>
          <w:rStyle w:val="FootnoteReference"/>
        </w:rPr>
        <w:footnoteRef/>
      </w:r>
      <w:r>
        <w:t xml:space="preserve"> </w:t>
      </w:r>
      <w:r>
        <w:rPr>
          <w:lang w:val="en-US"/>
        </w:rPr>
        <w:t>Regulation 2 of LN 47/2014.</w:t>
      </w:r>
    </w:p>
  </w:footnote>
  <w:footnote w:id="124">
    <w:p w14:paraId="04A48277" w14:textId="77777777" w:rsidR="006C3500" w:rsidRPr="009A3FFF" w:rsidRDefault="006C3500" w:rsidP="00006A61">
      <w:pPr>
        <w:pStyle w:val="FootnoteText"/>
        <w:rPr>
          <w:lang w:val="en-US"/>
        </w:rPr>
      </w:pPr>
      <w:r>
        <w:rPr>
          <w:rStyle w:val="FootnoteReference"/>
        </w:rPr>
        <w:footnoteRef/>
      </w:r>
      <w:r>
        <w:t xml:space="preserve"> </w:t>
      </w:r>
      <w:r w:rsidRPr="004257C3">
        <w:t>Regulation 13(1) and (2) of LN 47/2014.</w:t>
      </w:r>
    </w:p>
  </w:footnote>
  <w:footnote w:id="125">
    <w:p w14:paraId="2A8A2FD6" w14:textId="32183C42" w:rsidR="006C3500" w:rsidRDefault="006C3500">
      <w:pPr>
        <w:pStyle w:val="FootnoteText"/>
      </w:pPr>
      <w:r>
        <w:rPr>
          <w:rStyle w:val="FootnoteReference"/>
        </w:rPr>
        <w:footnoteRef/>
      </w:r>
      <w:r>
        <w:t xml:space="preserve"> Information obtained through stakeholder consultation with Identity Malta representatives in 8 March 2018.</w:t>
      </w:r>
    </w:p>
  </w:footnote>
  <w:footnote w:id="126">
    <w:p w14:paraId="362DCEFF" w14:textId="77777777" w:rsidR="006C3500" w:rsidRPr="004A4740" w:rsidRDefault="006C3500" w:rsidP="00006A61">
      <w:pPr>
        <w:pStyle w:val="FootnoteText"/>
        <w:rPr>
          <w:lang w:val="en-US"/>
        </w:rPr>
      </w:pPr>
      <w:r>
        <w:rPr>
          <w:rStyle w:val="FootnoteReference"/>
        </w:rPr>
        <w:footnoteRef/>
      </w:r>
      <w:r>
        <w:t xml:space="preserve">  Regulation 13(3) and (4) of LN 47/2014.</w:t>
      </w:r>
    </w:p>
  </w:footnote>
  <w:footnote w:id="127">
    <w:p w14:paraId="166AD638" w14:textId="77777777" w:rsidR="006C3500" w:rsidRPr="004A4740" w:rsidRDefault="006C3500" w:rsidP="00006A61">
      <w:pPr>
        <w:pStyle w:val="FootnoteText"/>
        <w:rPr>
          <w:lang w:val="en-US"/>
        </w:rPr>
      </w:pPr>
      <w:r>
        <w:rPr>
          <w:rStyle w:val="FootnoteReference"/>
        </w:rPr>
        <w:footnoteRef/>
      </w:r>
      <w:r>
        <w:t xml:space="preserve"> </w:t>
      </w:r>
      <w:r>
        <w:rPr>
          <w:lang w:val="en-US"/>
        </w:rPr>
        <w:t>Regulation 13(5) of LN 47/2014.</w:t>
      </w:r>
    </w:p>
  </w:footnote>
  <w:footnote w:id="128">
    <w:p w14:paraId="1BA8E40F" w14:textId="77777777" w:rsidR="006C3500" w:rsidRPr="004A4740" w:rsidRDefault="006C3500" w:rsidP="00006A61">
      <w:pPr>
        <w:pStyle w:val="FootnoteText"/>
        <w:rPr>
          <w:lang w:val="en-US"/>
        </w:rPr>
      </w:pPr>
      <w:r>
        <w:rPr>
          <w:rStyle w:val="FootnoteReference"/>
        </w:rPr>
        <w:footnoteRef/>
      </w:r>
      <w:r>
        <w:t xml:space="preserve"> </w:t>
      </w:r>
      <w:r>
        <w:rPr>
          <w:lang w:val="en-US"/>
        </w:rPr>
        <w:t>Regulation 13(6) of LN 47/2014.</w:t>
      </w:r>
    </w:p>
  </w:footnote>
  <w:footnote w:id="129">
    <w:p w14:paraId="3941D264" w14:textId="77777777" w:rsidR="006C3500" w:rsidRPr="004A4740" w:rsidRDefault="006C3500" w:rsidP="00006A61">
      <w:pPr>
        <w:pStyle w:val="FootnoteText"/>
        <w:rPr>
          <w:lang w:val="en-US"/>
        </w:rPr>
      </w:pPr>
      <w:r>
        <w:rPr>
          <w:rStyle w:val="FootnoteReference"/>
        </w:rPr>
        <w:footnoteRef/>
      </w:r>
      <w:r>
        <w:t xml:space="preserve"> </w:t>
      </w:r>
      <w:r>
        <w:rPr>
          <w:lang w:val="en-US"/>
        </w:rPr>
        <w:t>Regulation 13(7) of LN 47/2014.</w:t>
      </w:r>
    </w:p>
  </w:footnote>
  <w:footnote w:id="130">
    <w:p w14:paraId="2D310FFC" w14:textId="77777777" w:rsidR="006C3500" w:rsidRPr="00F26880" w:rsidRDefault="006C3500" w:rsidP="00006A61">
      <w:pPr>
        <w:pStyle w:val="FootnoteText"/>
        <w:rPr>
          <w:lang w:val="en-US"/>
        </w:rPr>
      </w:pPr>
      <w:r>
        <w:rPr>
          <w:rStyle w:val="FootnoteReference"/>
        </w:rPr>
        <w:footnoteRef/>
      </w:r>
      <w:r>
        <w:t xml:space="preserve"> </w:t>
      </w:r>
      <w:r>
        <w:rPr>
          <w:lang w:val="en-US"/>
        </w:rPr>
        <w:t xml:space="preserve">Times of Malta, ‘Cash-for-passports is not about making money, Prime Minister tells Dubai audience – Muscat says Malta’s economy is strong even without the IIP scheme’, 25 October 2017: </w:t>
      </w:r>
      <w:hyperlink r:id="rId63" w:history="1">
        <w:r w:rsidRPr="0024546F">
          <w:rPr>
            <w:rStyle w:val="Hyperlink"/>
            <w:lang w:val="en-US"/>
          </w:rPr>
          <w:t>https://www.timesofmalta.com/articles/view/20171025/local/cash-for-passports-is-not-about-making-money-says-PM.661359</w:t>
        </w:r>
      </w:hyperlink>
      <w:r>
        <w:rPr>
          <w:lang w:val="en-US"/>
        </w:rPr>
        <w:t xml:space="preserve">. </w:t>
      </w:r>
    </w:p>
  </w:footnote>
  <w:footnote w:id="131">
    <w:p w14:paraId="4E3EFF3A" w14:textId="77777777" w:rsidR="006C3500" w:rsidRPr="004A3FB6" w:rsidRDefault="006C3500" w:rsidP="00006A61">
      <w:pPr>
        <w:pStyle w:val="FootnoteText"/>
        <w:rPr>
          <w:lang w:val="en-US"/>
        </w:rPr>
      </w:pPr>
      <w:r>
        <w:rPr>
          <w:rStyle w:val="FootnoteReference"/>
        </w:rPr>
        <w:footnoteRef/>
      </w:r>
      <w:r>
        <w:t xml:space="preserve"> </w:t>
      </w:r>
      <w:r w:rsidRPr="004A3FB6">
        <w:t xml:space="preserve">Malta: Staff Concluding Statement of the 2017 Article IV Mission, International </w:t>
      </w:r>
      <w:r>
        <w:t>Monetary Fund, 17 November 2017:</w:t>
      </w:r>
      <w:r w:rsidRPr="004A3FB6">
        <w:t xml:space="preserve"> </w:t>
      </w:r>
      <w:hyperlink r:id="rId64" w:history="1">
        <w:r w:rsidRPr="00D208E0">
          <w:rPr>
            <w:rStyle w:val="Hyperlink"/>
          </w:rPr>
          <w:t>http://www.imf.org/en/News/Articles/2017/11/17/ms111717-malta-staff-concluding-statement-of-the-2017-article-iv-mission</w:t>
        </w:r>
      </w:hyperlink>
      <w:r>
        <w:t xml:space="preserve"> </w:t>
      </w:r>
    </w:p>
  </w:footnote>
  <w:footnote w:id="132">
    <w:p w14:paraId="61D23540" w14:textId="77777777" w:rsidR="006C3500" w:rsidRPr="004A3FB6" w:rsidRDefault="006C3500" w:rsidP="00006A61">
      <w:pPr>
        <w:pStyle w:val="FootnoteText"/>
        <w:rPr>
          <w:lang w:val="en-US"/>
        </w:rPr>
      </w:pPr>
      <w:r>
        <w:rPr>
          <w:rStyle w:val="FootnoteReference"/>
        </w:rPr>
        <w:footnoteRef/>
      </w:r>
      <w:r>
        <w:t xml:space="preserve"> </w:t>
      </w:r>
      <w:r w:rsidRPr="004A3FB6">
        <w:t xml:space="preserve">Malta: Staff Concluding Statement of the 2017 Article IV Mission, International </w:t>
      </w:r>
      <w:r>
        <w:t>Monetary Fund, 17 November 2017:</w:t>
      </w:r>
      <w:r w:rsidRPr="004A3FB6">
        <w:t xml:space="preserve"> </w:t>
      </w:r>
      <w:hyperlink r:id="rId65" w:history="1">
        <w:r w:rsidRPr="00D208E0">
          <w:rPr>
            <w:rStyle w:val="Hyperlink"/>
          </w:rPr>
          <w:t>http://www.imf.org/en/News/Articles/2017/11/17/ms111717-malta-staff-concluding-statement-of-the-2017-article-iv-mission</w:t>
        </w:r>
      </w:hyperlink>
      <w:r>
        <w:t xml:space="preserve"> </w:t>
      </w:r>
    </w:p>
  </w:footnote>
  <w:footnote w:id="133">
    <w:p w14:paraId="5851C8A4" w14:textId="77777777" w:rsidR="006C3500" w:rsidRPr="00195463" w:rsidRDefault="006C3500" w:rsidP="00006A61">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pp. 15-16: </w:t>
      </w:r>
      <w:hyperlink r:id="rId66" w:history="1">
        <w:r w:rsidRPr="00D208E0">
          <w:rPr>
            <w:rStyle w:val="Hyperlink"/>
          </w:rPr>
          <w:t>https://oriip.gov.mt/en/Documents/Reports/Annual%20Report%202017.pdf</w:t>
        </w:r>
      </w:hyperlink>
      <w:r>
        <w:t xml:space="preserve"> </w:t>
      </w:r>
    </w:p>
  </w:footnote>
  <w:footnote w:id="134">
    <w:p w14:paraId="548B2719" w14:textId="65B8D1A4" w:rsidR="006C3500" w:rsidRPr="0001209F" w:rsidRDefault="006C3500" w:rsidP="00006A61">
      <w:pPr>
        <w:pStyle w:val="FootnoteText"/>
        <w:rPr>
          <w:lang w:val="en-US"/>
        </w:rPr>
      </w:pPr>
      <w:r>
        <w:rPr>
          <w:rStyle w:val="FootnoteReference"/>
        </w:rPr>
        <w:footnoteRef/>
      </w:r>
      <w:r>
        <w:t xml:space="preserve">  The Malta Independent, ‘</w:t>
      </w:r>
      <w:r w:rsidRPr="0001209F">
        <w:t xml:space="preserve">Strong increases in housing prices may </w:t>
      </w:r>
      <w:r>
        <w:t>raise financial stability risks</w:t>
      </w:r>
      <w:r w:rsidRPr="0001209F">
        <w:t>, IMF says</w:t>
      </w:r>
      <w:r>
        <w:t>’</w:t>
      </w:r>
      <w:r w:rsidRPr="0001209F">
        <w:t xml:space="preserve">, </w:t>
      </w:r>
      <w:r>
        <w:t>28 November 2017:</w:t>
      </w:r>
      <w:hyperlink r:id="rId67" w:history="1">
        <w:r w:rsidRPr="00D208E0">
          <w:rPr>
            <w:rStyle w:val="Hyperlink"/>
          </w:rPr>
          <w:t>http://www.independent.com.mt/articles/2017-11-28/local-news/Strong-increases-in-housing-prices-may-raise-financial-stability-risks-IMF-says-6736182008</w:t>
        </w:r>
      </w:hyperlink>
      <w:r>
        <w:t xml:space="preserve"> </w:t>
      </w:r>
    </w:p>
  </w:footnote>
  <w:footnote w:id="135">
    <w:p w14:paraId="7967DD05" w14:textId="77777777" w:rsidR="006C3500" w:rsidRPr="00195463" w:rsidRDefault="006C3500" w:rsidP="00006A61">
      <w:pPr>
        <w:pStyle w:val="FootnoteText"/>
        <w:rPr>
          <w:lang w:val="en-US"/>
        </w:rPr>
      </w:pPr>
      <w:r>
        <w:rPr>
          <w:rStyle w:val="FootnoteReference"/>
        </w:rPr>
        <w:footnoteRef/>
      </w:r>
      <w:r>
        <w:t xml:space="preserve"> The suspense account is the account in which IIP funds are held prior to their distribution. </w:t>
      </w:r>
      <w:r w:rsidRPr="009205D9">
        <w:t>Office of the Regulator Individual Investor Programme (</w:t>
      </w:r>
      <w:proofErr w:type="spellStart"/>
      <w:r w:rsidRPr="009205D9">
        <w:t>ORiip</w:t>
      </w:r>
      <w:proofErr w:type="spellEnd"/>
      <w:r w:rsidRPr="009205D9">
        <w:t>),</w:t>
      </w:r>
      <w:r>
        <w:t xml:space="preserve"> Fourth</w:t>
      </w:r>
      <w:r w:rsidRPr="009205D9">
        <w:t xml:space="preserve"> Annual Report on the Individual Investor Programme</w:t>
      </w:r>
      <w:r>
        <w:t xml:space="preserve"> of the Government of Malta (1</w:t>
      </w:r>
      <w:r w:rsidRPr="009205D9">
        <w:t xml:space="preserve"> July 201</w:t>
      </w:r>
      <w:r>
        <w:t>6 – 30 June 2017</w:t>
      </w:r>
      <w:r w:rsidRPr="009205D9">
        <w:t>),</w:t>
      </w:r>
      <w:r>
        <w:t xml:space="preserve"> pp. 15-16: </w:t>
      </w:r>
      <w:hyperlink r:id="rId68" w:history="1">
        <w:r w:rsidRPr="00D208E0">
          <w:rPr>
            <w:rStyle w:val="Hyperlink"/>
          </w:rPr>
          <w:t>https://oriip.gov.mt/en/Documents/Reports/Annual%20Report%202017.pdf</w:t>
        </w:r>
      </w:hyperlink>
      <w:r>
        <w:t xml:space="preserve"> </w:t>
      </w:r>
    </w:p>
  </w:footnote>
  <w:footnote w:id="136">
    <w:p w14:paraId="46893568" w14:textId="77777777" w:rsidR="006C3500" w:rsidRPr="00DF3103" w:rsidRDefault="006C3500">
      <w:pPr>
        <w:pStyle w:val="FootnoteText"/>
        <w:rPr>
          <w:lang w:val="en-US"/>
        </w:rPr>
      </w:pPr>
      <w:r>
        <w:rPr>
          <w:rStyle w:val="FootnoteReference"/>
        </w:rPr>
        <w:footnoteRef/>
      </w:r>
      <w:r>
        <w:t xml:space="preserve"> </w:t>
      </w:r>
      <w:r w:rsidRPr="004257C3">
        <w:t>Office of the Regulator Individual Investor Programme (</w:t>
      </w:r>
      <w:proofErr w:type="spellStart"/>
      <w:r w:rsidRPr="004257C3">
        <w:t>ORiip</w:t>
      </w:r>
      <w:proofErr w:type="spellEnd"/>
      <w:r w:rsidRPr="004257C3">
        <w:t xml:space="preserve">), Fourth Annual Report on the Individual Investor Programme of the Government of Malta (1st July 2016 – 30th June 2017), November 2017, </w:t>
      </w:r>
      <w:r>
        <w:t xml:space="preserve">p. 9: </w:t>
      </w:r>
      <w:hyperlink r:id="rId69" w:history="1">
        <w:r w:rsidRPr="006F0793">
          <w:rPr>
            <w:rStyle w:val="Hyperlink"/>
          </w:rPr>
          <w:t>https://oriip.gov.mt/en/Documents/Reports/Annual%20Report%202017.pdf</w:t>
        </w:r>
      </w:hyperlink>
      <w:r>
        <w:t xml:space="preserve"> </w:t>
      </w:r>
    </w:p>
  </w:footnote>
  <w:footnote w:id="137">
    <w:p w14:paraId="13DA097E" w14:textId="77777777" w:rsidR="006C3500" w:rsidRPr="009938ED" w:rsidRDefault="006C3500">
      <w:pPr>
        <w:pStyle w:val="FootnoteText"/>
        <w:rPr>
          <w:lang w:val="en-US"/>
        </w:rPr>
      </w:pPr>
      <w:r>
        <w:rPr>
          <w:rStyle w:val="FootnoteReference"/>
        </w:rPr>
        <w:footnoteRef/>
      </w:r>
      <w:r>
        <w:t xml:space="preserve"> </w:t>
      </w:r>
      <w:r>
        <w:rPr>
          <w:lang w:val="en-US"/>
        </w:rPr>
        <w:t xml:space="preserve">Identity Malta, ‘Public Consultation: Enhancing the Individual Investor </w:t>
      </w:r>
      <w:proofErr w:type="spellStart"/>
      <w:r>
        <w:rPr>
          <w:lang w:val="en-US"/>
        </w:rPr>
        <w:t>Programme</w:t>
      </w:r>
      <w:proofErr w:type="spellEnd"/>
      <w:r>
        <w:rPr>
          <w:lang w:val="en-US"/>
        </w:rPr>
        <w:t xml:space="preserve">’, </w:t>
      </w:r>
      <w:hyperlink r:id="rId70" w:history="1">
        <w:r w:rsidRPr="00FE7C4A">
          <w:rPr>
            <w:rStyle w:val="Hyperlink"/>
            <w:lang w:val="en-US"/>
          </w:rPr>
          <w:t>https://www.surveymonkey.com/r/IIPpublicconsultation</w:t>
        </w:r>
      </w:hyperlink>
      <w:r>
        <w:rPr>
          <w:lang w:val="en-US"/>
        </w:rPr>
        <w:t xml:space="preserve">  </w:t>
      </w:r>
    </w:p>
  </w:footnote>
  <w:footnote w:id="138">
    <w:p w14:paraId="6C1BF411" w14:textId="77777777" w:rsidR="006C3500" w:rsidRPr="00DF3103" w:rsidRDefault="006C3500">
      <w:pPr>
        <w:pStyle w:val="FootnoteText"/>
        <w:rPr>
          <w:lang w:val="en-US"/>
        </w:rPr>
      </w:pPr>
      <w:r>
        <w:rPr>
          <w:rStyle w:val="FootnoteReference"/>
        </w:rPr>
        <w:footnoteRef/>
      </w:r>
      <w:r>
        <w:t xml:space="preserve"> ‘</w:t>
      </w:r>
      <w:r w:rsidRPr="00CE0245">
        <w:t>Malta Raising the Price of its Citizenship Program? MIIP 2.0 To Be “More Exclusive” Says PM</w:t>
      </w:r>
      <w:r>
        <w:t>’,</w:t>
      </w:r>
      <w:r w:rsidRPr="00CE0245">
        <w:rPr>
          <w:i/>
          <w:lang w:val="en-US"/>
        </w:rPr>
        <w:t xml:space="preserve"> </w:t>
      </w:r>
      <w:r>
        <w:rPr>
          <w:i/>
          <w:lang w:val="en-US"/>
        </w:rPr>
        <w:t>Investment Migration Insider</w:t>
      </w:r>
      <w:r>
        <w:rPr>
          <w:lang w:val="en-US"/>
        </w:rPr>
        <w:t xml:space="preserve">, 17 November 2017: </w:t>
      </w:r>
      <w:hyperlink r:id="rId71" w:history="1">
        <w:r w:rsidRPr="00D208E0">
          <w:rPr>
            <w:rStyle w:val="Hyperlink"/>
            <w:lang w:val="en-US"/>
          </w:rPr>
          <w:t>https://imidaily.com/editors-picks/malta-raising-price-citizenship-program-miip-2-0-exclusive-says-pm/</w:t>
        </w:r>
      </w:hyperlink>
      <w:r>
        <w:rPr>
          <w:lang w:val="en-US"/>
        </w:rPr>
        <w:t xml:space="preserve">; Times of Malta, ‘Cash-for-passports scheme will become more exclusive’ – PM’, 15 November 2017: </w:t>
      </w:r>
      <w:hyperlink r:id="rId72" w:history="1">
        <w:r w:rsidRPr="00746B11">
          <w:rPr>
            <w:rStyle w:val="Hyperlink"/>
            <w:lang w:val="en-US"/>
          </w:rPr>
          <w:t>https://www.timesofmalta.com/articles/view/20171115/local/cash-for-passports-scheme-will-become-more-exclusive-pm.663206</w:t>
        </w:r>
      </w:hyperlink>
      <w:r>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D8B484" w14:textId="77777777" w:rsidR="006C3500" w:rsidRPr="00D65D3B" w:rsidRDefault="006C3500" w:rsidP="00BD26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B72F41"/>
    <w:multiLevelType w:val="hybridMultilevel"/>
    <w:tmpl w:val="2D72E1D6"/>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FB41B96"/>
    <w:multiLevelType w:val="multilevel"/>
    <w:tmpl w:val="C4E2BA8C"/>
    <w:lvl w:ilvl="0">
      <w:start w:val="1"/>
      <w:numFmt w:val="decimal"/>
      <w:pStyle w:val="MH1"/>
      <w:lvlText w:val="%1"/>
      <w:lvlJc w:val="left"/>
      <w:pPr>
        <w:tabs>
          <w:tab w:val="num" w:pos="432"/>
        </w:tabs>
        <w:ind w:left="432" w:hanging="432"/>
      </w:pPr>
      <w:rPr>
        <w:rFonts w:ascii="Century Gothic" w:hAnsi="Century Gothic" w:hint="default"/>
        <w:b/>
        <w:bCs/>
        <w:i w:val="0"/>
        <w:iCs w:val="0"/>
        <w:caps/>
        <w:strike w:val="0"/>
        <w:dstrike w:val="0"/>
        <w:vanish w:val="0"/>
        <w:color w:val="auto"/>
        <w:spacing w:val="0"/>
        <w:w w:val="100"/>
        <w:kern w:val="0"/>
        <w:position w:val="0"/>
        <w:sz w:val="24"/>
        <w:szCs w:val="24"/>
        <w:u w:val="none"/>
        <w:effect w:val="none"/>
        <w:vertAlign w:val="baseline"/>
        <w:em w:val="none"/>
      </w:rPr>
    </w:lvl>
    <w:lvl w:ilvl="1">
      <w:start w:val="1"/>
      <w:numFmt w:val="decimal"/>
      <w:pStyle w:val="MH2"/>
      <w:lvlText w:val="%1.%2"/>
      <w:lvlJc w:val="left"/>
      <w:pPr>
        <w:tabs>
          <w:tab w:val="num" w:pos="576"/>
        </w:tabs>
        <w:ind w:left="576" w:hanging="576"/>
      </w:pPr>
      <w:rPr>
        <w:rFonts w:ascii="Century Gothic" w:hAnsi="Century Gothic" w:hint="default"/>
        <w:i w:val="0"/>
        <w:sz w:val="22"/>
        <w:szCs w:val="22"/>
      </w:rPr>
    </w:lvl>
    <w:lvl w:ilvl="2">
      <w:start w:val="1"/>
      <w:numFmt w:val="decimal"/>
      <w:pStyle w:val="MH3"/>
      <w:lvlText w:val="%1.%2.%3"/>
      <w:lvlJc w:val="left"/>
      <w:pPr>
        <w:tabs>
          <w:tab w:val="num" w:pos="720"/>
        </w:tabs>
        <w:ind w:left="720" w:hanging="720"/>
      </w:pPr>
      <w:rPr>
        <w:rFonts w:ascii="Century Gothic" w:hAnsi="Century Gothic" w:hint="default"/>
        <w:sz w:val="22"/>
        <w:szCs w:val="22"/>
      </w:rPr>
    </w:lvl>
    <w:lvl w:ilvl="3">
      <w:start w:val="1"/>
      <w:numFmt w:val="decimal"/>
      <w:pStyle w:val="MH4"/>
      <w:lvlText w:val="%1.%2.%3.%4"/>
      <w:lvlJc w:val="left"/>
      <w:pPr>
        <w:tabs>
          <w:tab w:val="num" w:pos="1764"/>
        </w:tabs>
        <w:ind w:left="17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15:restartNumberingAfterBreak="0">
    <w:nsid w:val="14803790"/>
    <w:multiLevelType w:val="hybridMultilevel"/>
    <w:tmpl w:val="79F406D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4CA2C15"/>
    <w:multiLevelType w:val="hybridMultilevel"/>
    <w:tmpl w:val="AA2C0DF8"/>
    <w:lvl w:ilvl="0" w:tplc="08090015">
      <w:start w:val="1"/>
      <w:numFmt w:val="bullet"/>
      <w:lvlText w:val=""/>
      <w:lvlJc w:val="left"/>
      <w:pPr>
        <w:ind w:left="785" w:hanging="360"/>
      </w:pPr>
      <w:rPr>
        <w:rFonts w:ascii="Wingdings" w:hAnsi="Wingdings" w:hint="default"/>
        <w:b w:val="0"/>
        <w:i w:val="0"/>
        <w:color w:val="4F81BD"/>
        <w:sz w:val="16"/>
        <w:u w:color="000080"/>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4" w15:restartNumberingAfterBreak="0">
    <w:nsid w:val="1A55616B"/>
    <w:multiLevelType w:val="hybridMultilevel"/>
    <w:tmpl w:val="DC38E8F4"/>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7462D7"/>
    <w:multiLevelType w:val="hybridMultilevel"/>
    <w:tmpl w:val="5E1A8A9A"/>
    <w:lvl w:ilvl="0" w:tplc="FD52C828">
      <w:start w:val="1"/>
      <w:numFmt w:val="bullet"/>
      <w:pStyle w:val="MMultileveltable"/>
      <w:lvlText w:val=""/>
      <w:lvlJc w:val="left"/>
      <w:pPr>
        <w:ind w:left="720" w:hanging="360"/>
      </w:pPr>
      <w:rPr>
        <w:rFonts w:ascii="Wingdings" w:hAnsi="Wingdings" w:hint="default"/>
        <w:b w:val="0"/>
        <w:i w:val="0"/>
        <w:color w:val="7AB800" w:themeColor="text2"/>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A733D8B"/>
    <w:multiLevelType w:val="hybridMultilevel"/>
    <w:tmpl w:val="ABF08C58"/>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7" w15:restartNumberingAfterBreak="0">
    <w:nsid w:val="2ABE73E9"/>
    <w:multiLevelType w:val="hybridMultilevel"/>
    <w:tmpl w:val="079673BA"/>
    <w:lvl w:ilvl="0" w:tplc="08090015">
      <w:start w:val="1"/>
      <w:numFmt w:val="bullet"/>
      <w:lvlText w:val=""/>
      <w:lvlJc w:val="left"/>
      <w:pPr>
        <w:ind w:left="785" w:hanging="360"/>
      </w:pPr>
      <w:rPr>
        <w:rFonts w:ascii="Wingdings" w:hAnsi="Wingdings" w:hint="default"/>
        <w:b w:val="0"/>
        <w:i w:val="0"/>
        <w:color w:val="4F81BD"/>
        <w:sz w:val="16"/>
        <w:u w:color="000080"/>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8" w15:restartNumberingAfterBreak="0">
    <w:nsid w:val="2BA510F4"/>
    <w:multiLevelType w:val="hybridMultilevel"/>
    <w:tmpl w:val="164CABE4"/>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8210D3"/>
    <w:multiLevelType w:val="hybridMultilevel"/>
    <w:tmpl w:val="5BF4FA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E802CF5"/>
    <w:multiLevelType w:val="multilevel"/>
    <w:tmpl w:val="6E648792"/>
    <w:styleLink w:val="MilieuList"/>
    <w:lvl w:ilvl="0">
      <w:start w:val="1"/>
      <w:numFmt w:val="bullet"/>
      <w:lvlText w:val=""/>
      <w:lvlJc w:val="left"/>
      <w:pPr>
        <w:ind w:left="425" w:hanging="425"/>
      </w:pPr>
      <w:rPr>
        <w:rFonts w:ascii="Wingdings" w:hAnsi="Wingdings" w:hint="default"/>
        <w:caps w:val="0"/>
        <w:strike w:val="0"/>
        <w:dstrike w:val="0"/>
        <w:vanish w:val="0"/>
        <w:color w:val="7AB800"/>
        <w:sz w:val="16"/>
        <w:vertAlign w:val="baseline"/>
      </w:rPr>
    </w:lvl>
    <w:lvl w:ilvl="1">
      <w:start w:val="1"/>
      <w:numFmt w:val="bullet"/>
      <w:lvlText w:val=""/>
      <w:lvlJc w:val="left"/>
      <w:pPr>
        <w:tabs>
          <w:tab w:val="num" w:pos="851"/>
        </w:tabs>
        <w:ind w:left="851" w:hanging="426"/>
      </w:pPr>
      <w:rPr>
        <w:rFonts w:ascii="Wingdings" w:hAnsi="Wingdings" w:hint="default"/>
        <w:color w:val="7AB800"/>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1" w15:restartNumberingAfterBreak="0">
    <w:nsid w:val="30C377D9"/>
    <w:multiLevelType w:val="hybridMultilevel"/>
    <w:tmpl w:val="3FECD04C"/>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12" w15:restartNumberingAfterBreak="0">
    <w:nsid w:val="31C8756E"/>
    <w:multiLevelType w:val="hybridMultilevel"/>
    <w:tmpl w:val="5AD0700A"/>
    <w:lvl w:ilvl="0" w:tplc="1A8CDA32">
      <w:start w:val="1"/>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3A872FF"/>
    <w:multiLevelType w:val="hybridMultilevel"/>
    <w:tmpl w:val="DBD657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691B60"/>
    <w:multiLevelType w:val="hybridMultilevel"/>
    <w:tmpl w:val="9A1C9EB6"/>
    <w:lvl w:ilvl="0" w:tplc="E090A8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22741"/>
    <w:multiLevelType w:val="multilevel"/>
    <w:tmpl w:val="90BE4FE0"/>
    <w:lvl w:ilvl="0">
      <w:start w:val="1"/>
      <w:numFmt w:val="bullet"/>
      <w:pStyle w:val="MMultilevel"/>
      <w:lvlText w:val=""/>
      <w:lvlJc w:val="left"/>
      <w:pPr>
        <w:ind w:left="425" w:hanging="425"/>
      </w:pPr>
      <w:rPr>
        <w:rFonts w:ascii="Wingdings" w:hAnsi="Wingdings" w:hint="default"/>
        <w:caps w:val="0"/>
        <w:strike w:val="0"/>
        <w:dstrike w:val="0"/>
        <w:vanish w:val="0"/>
        <w:color w:val="4F81BD" w:themeColor="accent1"/>
        <w:sz w:val="16"/>
        <w:szCs w:val="16"/>
        <w:vertAlign w:val="baseline"/>
      </w:rPr>
    </w:lvl>
    <w:lvl w:ilvl="1">
      <w:start w:val="1"/>
      <w:numFmt w:val="bullet"/>
      <w:lvlText w:val=""/>
      <w:lvlJc w:val="left"/>
      <w:pPr>
        <w:tabs>
          <w:tab w:val="num" w:pos="851"/>
        </w:tabs>
        <w:ind w:left="851" w:hanging="426"/>
      </w:pPr>
      <w:rPr>
        <w:rFonts w:ascii="Wingdings" w:hAnsi="Wingdings" w:hint="default"/>
        <w:color w:val="4F81BD" w:themeColor="accent1"/>
      </w:rPr>
    </w:lvl>
    <w:lvl w:ilvl="2">
      <w:start w:val="1"/>
      <w:numFmt w:val="bullet"/>
      <w:lvlText w:val=""/>
      <w:lvlJc w:val="left"/>
      <w:pPr>
        <w:tabs>
          <w:tab w:val="num" w:pos="1276"/>
        </w:tabs>
        <w:ind w:left="1276" w:hanging="425"/>
      </w:pPr>
      <w:rPr>
        <w:rFonts w:ascii="Wingdings" w:hAnsi="Wingdings" w:hint="default"/>
        <w:color w:val="7AB800"/>
      </w:rPr>
    </w:lvl>
    <w:lvl w:ilvl="3">
      <w:start w:val="1"/>
      <w:numFmt w:val="bullet"/>
      <w:lvlText w:val=""/>
      <w:lvlJc w:val="left"/>
      <w:pPr>
        <w:tabs>
          <w:tab w:val="num" w:pos="1701"/>
        </w:tabs>
        <w:ind w:left="1701" w:hanging="425"/>
      </w:pPr>
      <w:rPr>
        <w:rFonts w:ascii="Symbol" w:hAnsi="Symbol" w:hint="default"/>
        <w:caps w:val="0"/>
        <w:strike w:val="0"/>
        <w:dstrike w:val="0"/>
        <w:vanish w:val="0"/>
        <w:color w:val="7AB800"/>
        <w:vertAlign w:val="baseline"/>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15:restartNumberingAfterBreak="0">
    <w:nsid w:val="405F2B62"/>
    <w:multiLevelType w:val="hybridMultilevel"/>
    <w:tmpl w:val="33F8F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213F8B"/>
    <w:multiLevelType w:val="hybridMultilevel"/>
    <w:tmpl w:val="CE262A9C"/>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6737ABA"/>
    <w:multiLevelType w:val="hybridMultilevel"/>
    <w:tmpl w:val="7BDC3A0E"/>
    <w:lvl w:ilvl="0" w:tplc="38F453D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7857C5F"/>
    <w:multiLevelType w:val="hybridMultilevel"/>
    <w:tmpl w:val="5770E28A"/>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519E6100"/>
    <w:multiLevelType w:val="hybridMultilevel"/>
    <w:tmpl w:val="32F09E14"/>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6E66F13"/>
    <w:multiLevelType w:val="hybridMultilevel"/>
    <w:tmpl w:val="362EDB30"/>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A56F55"/>
    <w:multiLevelType w:val="hybridMultilevel"/>
    <w:tmpl w:val="38EC1D3E"/>
    <w:styleLink w:val="Style1"/>
    <w:lvl w:ilvl="0" w:tplc="040C0001">
      <w:start w:val="1"/>
      <w:numFmt w:val="bullet"/>
      <w:lvlText w:val=""/>
      <w:lvlJc w:val="left"/>
      <w:pPr>
        <w:tabs>
          <w:tab w:val="num" w:pos="1080"/>
        </w:tabs>
        <w:ind w:left="1080" w:hanging="360"/>
      </w:pPr>
      <w:rPr>
        <w:rFonts w:ascii="Symbol" w:hAnsi="Symbol"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63CC4D91"/>
    <w:multiLevelType w:val="multilevel"/>
    <w:tmpl w:val="AEF8E6AA"/>
    <w:lvl w:ilvl="0">
      <w:start w:val="1"/>
      <w:numFmt w:val="decimal"/>
      <w:pStyle w:val="Heading1"/>
      <w:lvlText w:val="%1"/>
      <w:lvlJc w:val="left"/>
      <w:pPr>
        <w:tabs>
          <w:tab w:val="num" w:pos="432"/>
        </w:tabs>
        <w:ind w:left="432" w:hanging="432"/>
      </w:pPr>
      <w:rPr>
        <w:rFonts w:ascii="Century Gothic" w:hAnsi="Century Gothic" w:hint="default"/>
        <w:b/>
        <w:bCs/>
        <w:i w:val="0"/>
        <w:iCs w:val="0"/>
        <w:caps w:val="0"/>
        <w:smallCaps w:val="0"/>
        <w:strike w:val="0"/>
        <w:dstrike w:val="0"/>
        <w:color w:val="auto"/>
        <w:spacing w:val="0"/>
        <w:w w:val="100"/>
        <w:kern w:val="0"/>
        <w:position w:val="0"/>
        <w:sz w:val="24"/>
        <w:szCs w:val="24"/>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ascii="Century Gothic" w:hAnsi="Century Gothic" w:hint="default"/>
        <w:i w:val="0"/>
        <w:sz w:val="22"/>
        <w:szCs w:val="22"/>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764"/>
        </w:tabs>
        <w:ind w:left="17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67085B5E"/>
    <w:multiLevelType w:val="hybridMultilevel"/>
    <w:tmpl w:val="E58A78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91D3C76"/>
    <w:multiLevelType w:val="hybridMultilevel"/>
    <w:tmpl w:val="5F584BE4"/>
    <w:lvl w:ilvl="0" w:tplc="040C0001">
      <w:start w:val="1"/>
      <w:numFmt w:val="bullet"/>
      <w:pStyle w:val="MMultilevelList"/>
      <w:lvlText w:val=""/>
      <w:lvlJc w:val="left"/>
      <w:pPr>
        <w:tabs>
          <w:tab w:val="num" w:pos="360"/>
        </w:tabs>
        <w:ind w:left="360" w:hanging="360"/>
      </w:pPr>
      <w:rPr>
        <w:rFonts w:ascii="Symbol" w:hAnsi="Symbo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26" w15:restartNumberingAfterBreak="0">
    <w:nsid w:val="6D936918"/>
    <w:multiLevelType w:val="hybridMultilevel"/>
    <w:tmpl w:val="F7CC1348"/>
    <w:lvl w:ilvl="0" w:tplc="08090015">
      <w:start w:val="1"/>
      <w:numFmt w:val="bullet"/>
      <w:lvlText w:val=""/>
      <w:lvlJc w:val="left"/>
      <w:pPr>
        <w:ind w:left="720" w:hanging="360"/>
      </w:pPr>
      <w:rPr>
        <w:rFonts w:ascii="Wingdings" w:hAnsi="Wingdings" w:hint="default"/>
        <w:b w:val="0"/>
        <w:i w:val="0"/>
        <w:color w:val="4F81BD"/>
        <w:sz w:val="16"/>
        <w:u w:color="0000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E382CFA"/>
    <w:multiLevelType w:val="hybridMultilevel"/>
    <w:tmpl w:val="9A1C9EB6"/>
    <w:lvl w:ilvl="0" w:tplc="E090A8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4F14D5"/>
    <w:multiLevelType w:val="hybridMultilevel"/>
    <w:tmpl w:val="7B9C7F16"/>
    <w:lvl w:ilvl="0" w:tplc="F3BC3E62">
      <w:start w:val="25"/>
      <w:numFmt w:val="bullet"/>
      <w:lvlText w:val="-"/>
      <w:lvlJc w:val="left"/>
      <w:pPr>
        <w:ind w:left="785" w:hanging="360"/>
      </w:pPr>
      <w:rPr>
        <w:rFonts w:ascii="Times New Roman" w:eastAsia="Times New Roman" w:hAnsi="Times New Roman" w:cs="Times New Roman" w:hint="default"/>
        <w:color w:val="auto"/>
      </w:rPr>
    </w:lvl>
    <w:lvl w:ilvl="1" w:tplc="04090003" w:tentative="1">
      <w:start w:val="1"/>
      <w:numFmt w:val="bullet"/>
      <w:lvlText w:val="o"/>
      <w:lvlJc w:val="left"/>
      <w:pPr>
        <w:ind w:left="1505" w:hanging="360"/>
      </w:pPr>
      <w:rPr>
        <w:rFonts w:ascii="Courier New" w:hAnsi="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29" w15:restartNumberingAfterBreak="0">
    <w:nsid w:val="78B0535C"/>
    <w:multiLevelType w:val="hybridMultilevel"/>
    <w:tmpl w:val="9020B82E"/>
    <w:lvl w:ilvl="0" w:tplc="8FBEED3C">
      <w:start w:val="1"/>
      <w:numFmt w:val="bullet"/>
      <w:lvlText w:val=""/>
      <w:lvlJc w:val="left"/>
      <w:pPr>
        <w:ind w:left="773" w:hanging="360"/>
      </w:pPr>
      <w:rPr>
        <w:rFonts w:ascii="Wingdings" w:hAnsi="Wingdings" w:hint="default"/>
        <w:b w:val="0"/>
        <w:i w:val="0"/>
        <w:color w:val="4F81BD"/>
        <w:sz w:val="16"/>
        <w:u w:color="000080"/>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30" w15:restartNumberingAfterBreak="0">
    <w:nsid w:val="79D23D2D"/>
    <w:multiLevelType w:val="hybridMultilevel"/>
    <w:tmpl w:val="5B649600"/>
    <w:lvl w:ilvl="0" w:tplc="8FBEED3C">
      <w:start w:val="1"/>
      <w:numFmt w:val="bullet"/>
      <w:lvlText w:val=""/>
      <w:lvlJc w:val="left"/>
      <w:pPr>
        <w:ind w:left="720" w:hanging="360"/>
      </w:pPr>
      <w:rPr>
        <w:rFonts w:ascii="Wingdings" w:hAnsi="Wingdings" w:hint="default"/>
        <w:b w:val="0"/>
        <w:i w:val="0"/>
        <w:color w:val="4F81BD"/>
        <w:sz w:val="16"/>
        <w:u w:color="00008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B97F69"/>
    <w:multiLevelType w:val="hybridMultilevel"/>
    <w:tmpl w:val="C43E36A6"/>
    <w:lvl w:ilvl="0" w:tplc="9ADC8996">
      <w:start w:val="4"/>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EB65517"/>
    <w:multiLevelType w:val="hybridMultilevel"/>
    <w:tmpl w:val="321E36B4"/>
    <w:lvl w:ilvl="0" w:tplc="8FBEED3C">
      <w:start w:val="1"/>
      <w:numFmt w:val="bullet"/>
      <w:lvlText w:val=""/>
      <w:lvlJc w:val="left"/>
      <w:pPr>
        <w:ind w:left="360" w:hanging="360"/>
      </w:pPr>
      <w:rPr>
        <w:rFonts w:ascii="Wingdings" w:hAnsi="Wingdings" w:hint="default"/>
        <w:b w:val="0"/>
        <w:i w:val="0"/>
        <w:color w:val="4F81BD"/>
        <w:sz w:val="16"/>
        <w:u w:color="000080"/>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3"/>
  </w:num>
  <w:num w:numId="2">
    <w:abstractNumId w:val="25"/>
  </w:num>
  <w:num w:numId="3">
    <w:abstractNumId w:val="1"/>
  </w:num>
  <w:num w:numId="4">
    <w:abstractNumId w:val="10"/>
  </w:num>
  <w:num w:numId="5">
    <w:abstractNumId w:val="15"/>
  </w:num>
  <w:num w:numId="6">
    <w:abstractNumId w:val="5"/>
  </w:num>
  <w:num w:numId="7">
    <w:abstractNumId w:val="1"/>
  </w:num>
  <w:num w:numId="8">
    <w:abstractNumId w:val="22"/>
  </w:num>
  <w:num w:numId="9">
    <w:abstractNumId w:val="24"/>
  </w:num>
  <w:num w:numId="10">
    <w:abstractNumId w:val="19"/>
  </w:num>
  <w:num w:numId="11">
    <w:abstractNumId w:val="26"/>
  </w:num>
  <w:num w:numId="12">
    <w:abstractNumId w:val="4"/>
  </w:num>
  <w:num w:numId="13">
    <w:abstractNumId w:val="18"/>
  </w:num>
  <w:num w:numId="14">
    <w:abstractNumId w:val="14"/>
  </w:num>
  <w:num w:numId="15">
    <w:abstractNumId w:val="12"/>
  </w:num>
  <w:num w:numId="16">
    <w:abstractNumId w:val="27"/>
  </w:num>
  <w:num w:numId="17">
    <w:abstractNumId w:val="28"/>
  </w:num>
  <w:num w:numId="18">
    <w:abstractNumId w:val="13"/>
  </w:num>
  <w:num w:numId="19">
    <w:abstractNumId w:val="9"/>
  </w:num>
  <w:num w:numId="20">
    <w:abstractNumId w:val="6"/>
  </w:num>
  <w:num w:numId="21">
    <w:abstractNumId w:val="11"/>
  </w:num>
  <w:num w:numId="22">
    <w:abstractNumId w:val="29"/>
  </w:num>
  <w:num w:numId="23">
    <w:abstractNumId w:val="8"/>
  </w:num>
  <w:num w:numId="24">
    <w:abstractNumId w:val="20"/>
  </w:num>
  <w:num w:numId="25">
    <w:abstractNumId w:val="32"/>
  </w:num>
  <w:num w:numId="26">
    <w:abstractNumId w:val="0"/>
  </w:num>
  <w:num w:numId="27">
    <w:abstractNumId w:val="30"/>
  </w:num>
  <w:num w:numId="28">
    <w:abstractNumId w:val="17"/>
  </w:num>
  <w:num w:numId="29">
    <w:abstractNumId w:val="3"/>
  </w:num>
  <w:num w:numId="30">
    <w:abstractNumId w:val="16"/>
  </w:num>
  <w:num w:numId="31">
    <w:abstractNumId w:val="7"/>
  </w:num>
  <w:num w:numId="32">
    <w:abstractNumId w:val="21"/>
  </w:num>
  <w:num w:numId="33">
    <w:abstractNumId w:val="31"/>
  </w:num>
  <w:num w:numId="34">
    <w:abstractNumId w:val="2"/>
  </w:num>
  <w:num w:numId="35">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4"/>
  <w:proofState w:spelling="clean" w:grammar="clean"/>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NORMAL"/>
  </w:docVars>
  <w:rsids>
    <w:rsidRoot w:val="00754962"/>
    <w:rsid w:val="000001B8"/>
    <w:rsid w:val="000006EC"/>
    <w:rsid w:val="00001B8D"/>
    <w:rsid w:val="00004FF4"/>
    <w:rsid w:val="00006A61"/>
    <w:rsid w:val="000073BC"/>
    <w:rsid w:val="00010901"/>
    <w:rsid w:val="0001137E"/>
    <w:rsid w:val="0001209F"/>
    <w:rsid w:val="0001214D"/>
    <w:rsid w:val="00017518"/>
    <w:rsid w:val="0001760D"/>
    <w:rsid w:val="00020C1C"/>
    <w:rsid w:val="00021362"/>
    <w:rsid w:val="00022CB4"/>
    <w:rsid w:val="00022F71"/>
    <w:rsid w:val="0002369B"/>
    <w:rsid w:val="00023A5C"/>
    <w:rsid w:val="000246FC"/>
    <w:rsid w:val="000250FE"/>
    <w:rsid w:val="00025E64"/>
    <w:rsid w:val="00030260"/>
    <w:rsid w:val="00030E8A"/>
    <w:rsid w:val="00033B4A"/>
    <w:rsid w:val="00033C0B"/>
    <w:rsid w:val="00035609"/>
    <w:rsid w:val="0003617B"/>
    <w:rsid w:val="00036981"/>
    <w:rsid w:val="0003698D"/>
    <w:rsid w:val="00036ADF"/>
    <w:rsid w:val="00037885"/>
    <w:rsid w:val="00037D7C"/>
    <w:rsid w:val="00042B19"/>
    <w:rsid w:val="00042C63"/>
    <w:rsid w:val="00042F15"/>
    <w:rsid w:val="00043C99"/>
    <w:rsid w:val="000455DF"/>
    <w:rsid w:val="00045A8A"/>
    <w:rsid w:val="0004602D"/>
    <w:rsid w:val="00050877"/>
    <w:rsid w:val="000512FB"/>
    <w:rsid w:val="0005157D"/>
    <w:rsid w:val="000522FA"/>
    <w:rsid w:val="000523EE"/>
    <w:rsid w:val="00053442"/>
    <w:rsid w:val="00053B1D"/>
    <w:rsid w:val="00053CC7"/>
    <w:rsid w:val="00054955"/>
    <w:rsid w:val="00054A43"/>
    <w:rsid w:val="0005677D"/>
    <w:rsid w:val="00057CC0"/>
    <w:rsid w:val="00057E7F"/>
    <w:rsid w:val="00061224"/>
    <w:rsid w:val="00061E9E"/>
    <w:rsid w:val="0006201B"/>
    <w:rsid w:val="000621B8"/>
    <w:rsid w:val="00062EFC"/>
    <w:rsid w:val="000647AE"/>
    <w:rsid w:val="00064A30"/>
    <w:rsid w:val="00066125"/>
    <w:rsid w:val="0007096F"/>
    <w:rsid w:val="0007122D"/>
    <w:rsid w:val="00075201"/>
    <w:rsid w:val="0007538D"/>
    <w:rsid w:val="000766EA"/>
    <w:rsid w:val="00076D49"/>
    <w:rsid w:val="000772DF"/>
    <w:rsid w:val="000804A3"/>
    <w:rsid w:val="000811F0"/>
    <w:rsid w:val="00081914"/>
    <w:rsid w:val="00082305"/>
    <w:rsid w:val="00084852"/>
    <w:rsid w:val="00085C75"/>
    <w:rsid w:val="00091A58"/>
    <w:rsid w:val="000923CC"/>
    <w:rsid w:val="000A0B51"/>
    <w:rsid w:val="000A1092"/>
    <w:rsid w:val="000A177C"/>
    <w:rsid w:val="000A578E"/>
    <w:rsid w:val="000B0F0A"/>
    <w:rsid w:val="000B17A9"/>
    <w:rsid w:val="000B27BD"/>
    <w:rsid w:val="000B387C"/>
    <w:rsid w:val="000B68F0"/>
    <w:rsid w:val="000C2425"/>
    <w:rsid w:val="000C2824"/>
    <w:rsid w:val="000C3447"/>
    <w:rsid w:val="000C507F"/>
    <w:rsid w:val="000C5216"/>
    <w:rsid w:val="000C59DD"/>
    <w:rsid w:val="000C6609"/>
    <w:rsid w:val="000C6D10"/>
    <w:rsid w:val="000C6EBC"/>
    <w:rsid w:val="000C6ECE"/>
    <w:rsid w:val="000C74BF"/>
    <w:rsid w:val="000D24D9"/>
    <w:rsid w:val="000D2F8E"/>
    <w:rsid w:val="000D364F"/>
    <w:rsid w:val="000D3F29"/>
    <w:rsid w:val="000D63B4"/>
    <w:rsid w:val="000D6D9D"/>
    <w:rsid w:val="000E0695"/>
    <w:rsid w:val="000E2C57"/>
    <w:rsid w:val="000E526C"/>
    <w:rsid w:val="000E5B23"/>
    <w:rsid w:val="000E72A0"/>
    <w:rsid w:val="000E7B81"/>
    <w:rsid w:val="000F1882"/>
    <w:rsid w:val="000F3A60"/>
    <w:rsid w:val="000F4AC6"/>
    <w:rsid w:val="000F5188"/>
    <w:rsid w:val="000F668D"/>
    <w:rsid w:val="00100127"/>
    <w:rsid w:val="001016F3"/>
    <w:rsid w:val="00101FA0"/>
    <w:rsid w:val="001037CE"/>
    <w:rsid w:val="00103DF5"/>
    <w:rsid w:val="00104831"/>
    <w:rsid w:val="0011214D"/>
    <w:rsid w:val="00116555"/>
    <w:rsid w:val="00117BAC"/>
    <w:rsid w:val="00120042"/>
    <w:rsid w:val="001206F4"/>
    <w:rsid w:val="00125682"/>
    <w:rsid w:val="0013236E"/>
    <w:rsid w:val="00133293"/>
    <w:rsid w:val="00133AF6"/>
    <w:rsid w:val="001342F2"/>
    <w:rsid w:val="00134A18"/>
    <w:rsid w:val="00134F72"/>
    <w:rsid w:val="001350D2"/>
    <w:rsid w:val="001364DB"/>
    <w:rsid w:val="001365F0"/>
    <w:rsid w:val="00136EE9"/>
    <w:rsid w:val="00142B7B"/>
    <w:rsid w:val="00142CA7"/>
    <w:rsid w:val="00144BF6"/>
    <w:rsid w:val="00150EF2"/>
    <w:rsid w:val="001526CD"/>
    <w:rsid w:val="00152A18"/>
    <w:rsid w:val="0015302F"/>
    <w:rsid w:val="00153C1F"/>
    <w:rsid w:val="001560E4"/>
    <w:rsid w:val="00160163"/>
    <w:rsid w:val="00161F7A"/>
    <w:rsid w:val="0016355D"/>
    <w:rsid w:val="0016416B"/>
    <w:rsid w:val="00165BD0"/>
    <w:rsid w:val="0016609D"/>
    <w:rsid w:val="001662D4"/>
    <w:rsid w:val="00170244"/>
    <w:rsid w:val="00170C39"/>
    <w:rsid w:val="00172A11"/>
    <w:rsid w:val="00173094"/>
    <w:rsid w:val="0017309F"/>
    <w:rsid w:val="0017457A"/>
    <w:rsid w:val="00174BF1"/>
    <w:rsid w:val="00175487"/>
    <w:rsid w:val="0017712A"/>
    <w:rsid w:val="001771ED"/>
    <w:rsid w:val="00177566"/>
    <w:rsid w:val="00180242"/>
    <w:rsid w:val="0018200A"/>
    <w:rsid w:val="0018352A"/>
    <w:rsid w:val="00184BF3"/>
    <w:rsid w:val="00185983"/>
    <w:rsid w:val="00191E35"/>
    <w:rsid w:val="00192125"/>
    <w:rsid w:val="0019265C"/>
    <w:rsid w:val="0019368C"/>
    <w:rsid w:val="0019372C"/>
    <w:rsid w:val="00194359"/>
    <w:rsid w:val="00195463"/>
    <w:rsid w:val="00195F0B"/>
    <w:rsid w:val="0019607E"/>
    <w:rsid w:val="0019785A"/>
    <w:rsid w:val="001A0382"/>
    <w:rsid w:val="001A176D"/>
    <w:rsid w:val="001A3C5A"/>
    <w:rsid w:val="001A4866"/>
    <w:rsid w:val="001A50CC"/>
    <w:rsid w:val="001A540F"/>
    <w:rsid w:val="001A5FE4"/>
    <w:rsid w:val="001B06C1"/>
    <w:rsid w:val="001B1591"/>
    <w:rsid w:val="001B161E"/>
    <w:rsid w:val="001B2A14"/>
    <w:rsid w:val="001B2A85"/>
    <w:rsid w:val="001B4E8C"/>
    <w:rsid w:val="001B66BC"/>
    <w:rsid w:val="001C0D41"/>
    <w:rsid w:val="001C1106"/>
    <w:rsid w:val="001C22AD"/>
    <w:rsid w:val="001C292B"/>
    <w:rsid w:val="001C38F3"/>
    <w:rsid w:val="001C428C"/>
    <w:rsid w:val="001C6503"/>
    <w:rsid w:val="001D076C"/>
    <w:rsid w:val="001D1235"/>
    <w:rsid w:val="001D1B39"/>
    <w:rsid w:val="001D28AA"/>
    <w:rsid w:val="001D4E3B"/>
    <w:rsid w:val="001D4FD2"/>
    <w:rsid w:val="001D6EB4"/>
    <w:rsid w:val="001D710F"/>
    <w:rsid w:val="001D7D74"/>
    <w:rsid w:val="001E76E4"/>
    <w:rsid w:val="001F0937"/>
    <w:rsid w:val="001F14FD"/>
    <w:rsid w:val="001F3111"/>
    <w:rsid w:val="001F73B8"/>
    <w:rsid w:val="002004D1"/>
    <w:rsid w:val="0020229F"/>
    <w:rsid w:val="002023A7"/>
    <w:rsid w:val="002024C9"/>
    <w:rsid w:val="0020292F"/>
    <w:rsid w:val="00205690"/>
    <w:rsid w:val="002060C0"/>
    <w:rsid w:val="00206196"/>
    <w:rsid w:val="00206933"/>
    <w:rsid w:val="00207230"/>
    <w:rsid w:val="002104D4"/>
    <w:rsid w:val="00213133"/>
    <w:rsid w:val="0021323B"/>
    <w:rsid w:val="00213E3A"/>
    <w:rsid w:val="00214D8E"/>
    <w:rsid w:val="00215399"/>
    <w:rsid w:val="002178FE"/>
    <w:rsid w:val="00217C7F"/>
    <w:rsid w:val="00221CAE"/>
    <w:rsid w:val="00223F8C"/>
    <w:rsid w:val="00227227"/>
    <w:rsid w:val="00230D7C"/>
    <w:rsid w:val="0023365C"/>
    <w:rsid w:val="00236317"/>
    <w:rsid w:val="0023733E"/>
    <w:rsid w:val="002404E3"/>
    <w:rsid w:val="00240889"/>
    <w:rsid w:val="00241E07"/>
    <w:rsid w:val="00243DF3"/>
    <w:rsid w:val="0024637B"/>
    <w:rsid w:val="00246791"/>
    <w:rsid w:val="00247EAF"/>
    <w:rsid w:val="0025050F"/>
    <w:rsid w:val="0025058C"/>
    <w:rsid w:val="00251325"/>
    <w:rsid w:val="0025204C"/>
    <w:rsid w:val="00252A5C"/>
    <w:rsid w:val="002544E1"/>
    <w:rsid w:val="00256772"/>
    <w:rsid w:val="002568A3"/>
    <w:rsid w:val="002614C2"/>
    <w:rsid w:val="0026173E"/>
    <w:rsid w:val="00261841"/>
    <w:rsid w:val="0026503D"/>
    <w:rsid w:val="002670E8"/>
    <w:rsid w:val="00270C12"/>
    <w:rsid w:val="00271110"/>
    <w:rsid w:val="002724C3"/>
    <w:rsid w:val="00272D85"/>
    <w:rsid w:val="00274232"/>
    <w:rsid w:val="00275D11"/>
    <w:rsid w:val="00276435"/>
    <w:rsid w:val="0027732B"/>
    <w:rsid w:val="00280327"/>
    <w:rsid w:val="00280553"/>
    <w:rsid w:val="002805C2"/>
    <w:rsid w:val="00281C14"/>
    <w:rsid w:val="00282730"/>
    <w:rsid w:val="00282E22"/>
    <w:rsid w:val="002838DB"/>
    <w:rsid w:val="00283D09"/>
    <w:rsid w:val="00284E94"/>
    <w:rsid w:val="00284FB6"/>
    <w:rsid w:val="0028618D"/>
    <w:rsid w:val="00286885"/>
    <w:rsid w:val="00287E74"/>
    <w:rsid w:val="002908E7"/>
    <w:rsid w:val="00290C47"/>
    <w:rsid w:val="0029229A"/>
    <w:rsid w:val="0029305F"/>
    <w:rsid w:val="00293A4E"/>
    <w:rsid w:val="002941FF"/>
    <w:rsid w:val="00294236"/>
    <w:rsid w:val="0029531E"/>
    <w:rsid w:val="0029594E"/>
    <w:rsid w:val="00295E6E"/>
    <w:rsid w:val="002962C1"/>
    <w:rsid w:val="002975AE"/>
    <w:rsid w:val="00297B44"/>
    <w:rsid w:val="002A0F31"/>
    <w:rsid w:val="002A117A"/>
    <w:rsid w:val="002A2B37"/>
    <w:rsid w:val="002A2BEC"/>
    <w:rsid w:val="002A638B"/>
    <w:rsid w:val="002B0460"/>
    <w:rsid w:val="002B1BB7"/>
    <w:rsid w:val="002B2B65"/>
    <w:rsid w:val="002B5D09"/>
    <w:rsid w:val="002C08FD"/>
    <w:rsid w:val="002C3F62"/>
    <w:rsid w:val="002C5AC7"/>
    <w:rsid w:val="002C72F1"/>
    <w:rsid w:val="002C7F87"/>
    <w:rsid w:val="002D1B2B"/>
    <w:rsid w:val="002D2E87"/>
    <w:rsid w:val="002D37F6"/>
    <w:rsid w:val="002D38BF"/>
    <w:rsid w:val="002D3B90"/>
    <w:rsid w:val="002D4298"/>
    <w:rsid w:val="002D546E"/>
    <w:rsid w:val="002D5AED"/>
    <w:rsid w:val="002D5CF9"/>
    <w:rsid w:val="002E09B3"/>
    <w:rsid w:val="002E2B91"/>
    <w:rsid w:val="002E7ADA"/>
    <w:rsid w:val="002E7B2B"/>
    <w:rsid w:val="002E7CA5"/>
    <w:rsid w:val="002F0288"/>
    <w:rsid w:val="002F129F"/>
    <w:rsid w:val="002F295A"/>
    <w:rsid w:val="002F4E70"/>
    <w:rsid w:val="002F6D81"/>
    <w:rsid w:val="002F7BA3"/>
    <w:rsid w:val="00300380"/>
    <w:rsid w:val="003009D5"/>
    <w:rsid w:val="00302990"/>
    <w:rsid w:val="00302B2E"/>
    <w:rsid w:val="0030367B"/>
    <w:rsid w:val="003038F3"/>
    <w:rsid w:val="003065BE"/>
    <w:rsid w:val="00310B03"/>
    <w:rsid w:val="00310B3F"/>
    <w:rsid w:val="003118B3"/>
    <w:rsid w:val="003139D6"/>
    <w:rsid w:val="00313B0D"/>
    <w:rsid w:val="00314841"/>
    <w:rsid w:val="003149C9"/>
    <w:rsid w:val="0031687C"/>
    <w:rsid w:val="003204AA"/>
    <w:rsid w:val="00323133"/>
    <w:rsid w:val="00323969"/>
    <w:rsid w:val="00324000"/>
    <w:rsid w:val="00324FF5"/>
    <w:rsid w:val="003266A6"/>
    <w:rsid w:val="003273D4"/>
    <w:rsid w:val="003278E4"/>
    <w:rsid w:val="00327B65"/>
    <w:rsid w:val="003354D3"/>
    <w:rsid w:val="00335AA2"/>
    <w:rsid w:val="00336CF7"/>
    <w:rsid w:val="00337242"/>
    <w:rsid w:val="003404C0"/>
    <w:rsid w:val="00340E44"/>
    <w:rsid w:val="0034175A"/>
    <w:rsid w:val="00341881"/>
    <w:rsid w:val="00342D9E"/>
    <w:rsid w:val="00343DBF"/>
    <w:rsid w:val="0034524B"/>
    <w:rsid w:val="0034536F"/>
    <w:rsid w:val="00345FBC"/>
    <w:rsid w:val="003473C6"/>
    <w:rsid w:val="003473F4"/>
    <w:rsid w:val="00351E21"/>
    <w:rsid w:val="003520D5"/>
    <w:rsid w:val="00354F7C"/>
    <w:rsid w:val="00355316"/>
    <w:rsid w:val="00360478"/>
    <w:rsid w:val="00360E7D"/>
    <w:rsid w:val="003617BB"/>
    <w:rsid w:val="00362931"/>
    <w:rsid w:val="00365E48"/>
    <w:rsid w:val="00367325"/>
    <w:rsid w:val="00367B78"/>
    <w:rsid w:val="003750D7"/>
    <w:rsid w:val="00375A0E"/>
    <w:rsid w:val="0037675D"/>
    <w:rsid w:val="00376E4C"/>
    <w:rsid w:val="00377819"/>
    <w:rsid w:val="00381A25"/>
    <w:rsid w:val="00381A9C"/>
    <w:rsid w:val="00382240"/>
    <w:rsid w:val="00383D42"/>
    <w:rsid w:val="003840DD"/>
    <w:rsid w:val="00385590"/>
    <w:rsid w:val="0038725A"/>
    <w:rsid w:val="00387C01"/>
    <w:rsid w:val="00391E74"/>
    <w:rsid w:val="00392A17"/>
    <w:rsid w:val="0039467A"/>
    <w:rsid w:val="00395595"/>
    <w:rsid w:val="00395ACE"/>
    <w:rsid w:val="003965C6"/>
    <w:rsid w:val="00396DC7"/>
    <w:rsid w:val="00397149"/>
    <w:rsid w:val="0039776C"/>
    <w:rsid w:val="00397EAD"/>
    <w:rsid w:val="003A0C9C"/>
    <w:rsid w:val="003A16B3"/>
    <w:rsid w:val="003A26A1"/>
    <w:rsid w:val="003A36BA"/>
    <w:rsid w:val="003A41E8"/>
    <w:rsid w:val="003A4BB1"/>
    <w:rsid w:val="003A79A0"/>
    <w:rsid w:val="003B794E"/>
    <w:rsid w:val="003C1247"/>
    <w:rsid w:val="003C31B7"/>
    <w:rsid w:val="003C4921"/>
    <w:rsid w:val="003C659D"/>
    <w:rsid w:val="003C73A5"/>
    <w:rsid w:val="003D0394"/>
    <w:rsid w:val="003D14F0"/>
    <w:rsid w:val="003D19A1"/>
    <w:rsid w:val="003D2E86"/>
    <w:rsid w:val="003D609C"/>
    <w:rsid w:val="003D70D8"/>
    <w:rsid w:val="003E0465"/>
    <w:rsid w:val="003E128C"/>
    <w:rsid w:val="003E594D"/>
    <w:rsid w:val="003E78EF"/>
    <w:rsid w:val="003F0423"/>
    <w:rsid w:val="003F2B42"/>
    <w:rsid w:val="003F33BC"/>
    <w:rsid w:val="003F347F"/>
    <w:rsid w:val="003F42A4"/>
    <w:rsid w:val="003F4FBD"/>
    <w:rsid w:val="003F5502"/>
    <w:rsid w:val="003F606C"/>
    <w:rsid w:val="003F66C7"/>
    <w:rsid w:val="003F76D6"/>
    <w:rsid w:val="00400DE5"/>
    <w:rsid w:val="00402620"/>
    <w:rsid w:val="00404AA6"/>
    <w:rsid w:val="00406327"/>
    <w:rsid w:val="00411117"/>
    <w:rsid w:val="004138CB"/>
    <w:rsid w:val="00413E49"/>
    <w:rsid w:val="00415435"/>
    <w:rsid w:val="00417502"/>
    <w:rsid w:val="0041754C"/>
    <w:rsid w:val="004178C6"/>
    <w:rsid w:val="00417974"/>
    <w:rsid w:val="00417ED8"/>
    <w:rsid w:val="004202F9"/>
    <w:rsid w:val="0042060A"/>
    <w:rsid w:val="004225B0"/>
    <w:rsid w:val="004257C3"/>
    <w:rsid w:val="00425944"/>
    <w:rsid w:val="00426472"/>
    <w:rsid w:val="0043028A"/>
    <w:rsid w:val="004305D4"/>
    <w:rsid w:val="00431346"/>
    <w:rsid w:val="00432A8B"/>
    <w:rsid w:val="00432DAB"/>
    <w:rsid w:val="00432FB2"/>
    <w:rsid w:val="00433940"/>
    <w:rsid w:val="00434A7D"/>
    <w:rsid w:val="004364E1"/>
    <w:rsid w:val="00437890"/>
    <w:rsid w:val="0044090D"/>
    <w:rsid w:val="00440A7F"/>
    <w:rsid w:val="004411F7"/>
    <w:rsid w:val="00441EAB"/>
    <w:rsid w:val="00442005"/>
    <w:rsid w:val="00442AC7"/>
    <w:rsid w:val="00446534"/>
    <w:rsid w:val="00450371"/>
    <w:rsid w:val="004505AD"/>
    <w:rsid w:val="0045216F"/>
    <w:rsid w:val="00453506"/>
    <w:rsid w:val="004546EE"/>
    <w:rsid w:val="004553CC"/>
    <w:rsid w:val="004558B9"/>
    <w:rsid w:val="0045714D"/>
    <w:rsid w:val="004576E4"/>
    <w:rsid w:val="00460B07"/>
    <w:rsid w:val="004614DE"/>
    <w:rsid w:val="00463F9D"/>
    <w:rsid w:val="00464652"/>
    <w:rsid w:val="004646E3"/>
    <w:rsid w:val="004650F6"/>
    <w:rsid w:val="00465C37"/>
    <w:rsid w:val="00465DA9"/>
    <w:rsid w:val="004671B1"/>
    <w:rsid w:val="00467D86"/>
    <w:rsid w:val="00467F16"/>
    <w:rsid w:val="0047104E"/>
    <w:rsid w:val="00471334"/>
    <w:rsid w:val="0047350D"/>
    <w:rsid w:val="00473AC1"/>
    <w:rsid w:val="0047530E"/>
    <w:rsid w:val="0048171B"/>
    <w:rsid w:val="00482C0C"/>
    <w:rsid w:val="00483E76"/>
    <w:rsid w:val="0048413A"/>
    <w:rsid w:val="00484752"/>
    <w:rsid w:val="004869D2"/>
    <w:rsid w:val="00491AFA"/>
    <w:rsid w:val="00492DB8"/>
    <w:rsid w:val="00493C2A"/>
    <w:rsid w:val="00494535"/>
    <w:rsid w:val="004948CC"/>
    <w:rsid w:val="004949D5"/>
    <w:rsid w:val="004953E7"/>
    <w:rsid w:val="00495883"/>
    <w:rsid w:val="00496298"/>
    <w:rsid w:val="00496E8A"/>
    <w:rsid w:val="00497483"/>
    <w:rsid w:val="004A119F"/>
    <w:rsid w:val="004A22B4"/>
    <w:rsid w:val="004A2A62"/>
    <w:rsid w:val="004A3606"/>
    <w:rsid w:val="004A3FB6"/>
    <w:rsid w:val="004A411F"/>
    <w:rsid w:val="004A4740"/>
    <w:rsid w:val="004A5220"/>
    <w:rsid w:val="004A5E80"/>
    <w:rsid w:val="004A5ED3"/>
    <w:rsid w:val="004A7ADB"/>
    <w:rsid w:val="004B0F8C"/>
    <w:rsid w:val="004B1BFA"/>
    <w:rsid w:val="004B2A2E"/>
    <w:rsid w:val="004B41F0"/>
    <w:rsid w:val="004B551D"/>
    <w:rsid w:val="004C0074"/>
    <w:rsid w:val="004C32CE"/>
    <w:rsid w:val="004C3738"/>
    <w:rsid w:val="004C4540"/>
    <w:rsid w:val="004C4B97"/>
    <w:rsid w:val="004C5994"/>
    <w:rsid w:val="004C5E65"/>
    <w:rsid w:val="004C63A4"/>
    <w:rsid w:val="004C713E"/>
    <w:rsid w:val="004C73A4"/>
    <w:rsid w:val="004D298C"/>
    <w:rsid w:val="004D3A51"/>
    <w:rsid w:val="004D7A28"/>
    <w:rsid w:val="004E2770"/>
    <w:rsid w:val="004E278E"/>
    <w:rsid w:val="004E3E67"/>
    <w:rsid w:val="004E56DD"/>
    <w:rsid w:val="004E6B0E"/>
    <w:rsid w:val="004F2565"/>
    <w:rsid w:val="004F40F6"/>
    <w:rsid w:val="004F6A6B"/>
    <w:rsid w:val="004F7A5D"/>
    <w:rsid w:val="00501383"/>
    <w:rsid w:val="005028F0"/>
    <w:rsid w:val="0050290E"/>
    <w:rsid w:val="00503312"/>
    <w:rsid w:val="005035C1"/>
    <w:rsid w:val="0050619D"/>
    <w:rsid w:val="00506214"/>
    <w:rsid w:val="00511486"/>
    <w:rsid w:val="00511490"/>
    <w:rsid w:val="00511F44"/>
    <w:rsid w:val="00514501"/>
    <w:rsid w:val="00514ABB"/>
    <w:rsid w:val="00515074"/>
    <w:rsid w:val="005205EC"/>
    <w:rsid w:val="00522166"/>
    <w:rsid w:val="00524A63"/>
    <w:rsid w:val="00525165"/>
    <w:rsid w:val="005264A5"/>
    <w:rsid w:val="005278A4"/>
    <w:rsid w:val="005278F9"/>
    <w:rsid w:val="005302A2"/>
    <w:rsid w:val="005319E4"/>
    <w:rsid w:val="005334AF"/>
    <w:rsid w:val="00533740"/>
    <w:rsid w:val="005338F5"/>
    <w:rsid w:val="00533A7E"/>
    <w:rsid w:val="005349EF"/>
    <w:rsid w:val="00536E67"/>
    <w:rsid w:val="00540706"/>
    <w:rsid w:val="005421E7"/>
    <w:rsid w:val="00543911"/>
    <w:rsid w:val="00551C54"/>
    <w:rsid w:val="0055374B"/>
    <w:rsid w:val="00553C6B"/>
    <w:rsid w:val="00554D53"/>
    <w:rsid w:val="00554EEF"/>
    <w:rsid w:val="005551B8"/>
    <w:rsid w:val="005564BE"/>
    <w:rsid w:val="0056060C"/>
    <w:rsid w:val="00562465"/>
    <w:rsid w:val="00562CE2"/>
    <w:rsid w:val="005646B8"/>
    <w:rsid w:val="00566885"/>
    <w:rsid w:val="005703D4"/>
    <w:rsid w:val="005704A7"/>
    <w:rsid w:val="00570AE2"/>
    <w:rsid w:val="00570C3F"/>
    <w:rsid w:val="0057145E"/>
    <w:rsid w:val="0057534D"/>
    <w:rsid w:val="0057590D"/>
    <w:rsid w:val="00576E38"/>
    <w:rsid w:val="00580CF7"/>
    <w:rsid w:val="00581A74"/>
    <w:rsid w:val="00582464"/>
    <w:rsid w:val="00583B23"/>
    <w:rsid w:val="00584245"/>
    <w:rsid w:val="00585104"/>
    <w:rsid w:val="00585AF3"/>
    <w:rsid w:val="00586037"/>
    <w:rsid w:val="00590213"/>
    <w:rsid w:val="005902CD"/>
    <w:rsid w:val="0059233B"/>
    <w:rsid w:val="005932D6"/>
    <w:rsid w:val="00593467"/>
    <w:rsid w:val="00593E1D"/>
    <w:rsid w:val="0059401A"/>
    <w:rsid w:val="00595980"/>
    <w:rsid w:val="005A0E61"/>
    <w:rsid w:val="005A3186"/>
    <w:rsid w:val="005A5597"/>
    <w:rsid w:val="005A5D8C"/>
    <w:rsid w:val="005A6C98"/>
    <w:rsid w:val="005A71BB"/>
    <w:rsid w:val="005A75F9"/>
    <w:rsid w:val="005B347F"/>
    <w:rsid w:val="005B6BC8"/>
    <w:rsid w:val="005B73DD"/>
    <w:rsid w:val="005C0DC2"/>
    <w:rsid w:val="005C1187"/>
    <w:rsid w:val="005C1AB5"/>
    <w:rsid w:val="005C6214"/>
    <w:rsid w:val="005C6522"/>
    <w:rsid w:val="005D0C55"/>
    <w:rsid w:val="005D2BC8"/>
    <w:rsid w:val="005D323F"/>
    <w:rsid w:val="005D3275"/>
    <w:rsid w:val="005D5127"/>
    <w:rsid w:val="005D659A"/>
    <w:rsid w:val="005E1212"/>
    <w:rsid w:val="005E2DD3"/>
    <w:rsid w:val="005F0B69"/>
    <w:rsid w:val="005F0D86"/>
    <w:rsid w:val="005F2EDF"/>
    <w:rsid w:val="005F3316"/>
    <w:rsid w:val="005F42FB"/>
    <w:rsid w:val="005F5281"/>
    <w:rsid w:val="005F6D6B"/>
    <w:rsid w:val="0060067F"/>
    <w:rsid w:val="006049C1"/>
    <w:rsid w:val="00605B84"/>
    <w:rsid w:val="00607DF1"/>
    <w:rsid w:val="0061126E"/>
    <w:rsid w:val="00616284"/>
    <w:rsid w:val="00620D4A"/>
    <w:rsid w:val="00621796"/>
    <w:rsid w:val="00621EF9"/>
    <w:rsid w:val="00623000"/>
    <w:rsid w:val="006236EE"/>
    <w:rsid w:val="006267CE"/>
    <w:rsid w:val="00626BC9"/>
    <w:rsid w:val="006270A2"/>
    <w:rsid w:val="006310D5"/>
    <w:rsid w:val="00633502"/>
    <w:rsid w:val="0063383B"/>
    <w:rsid w:val="00633F27"/>
    <w:rsid w:val="006346C0"/>
    <w:rsid w:val="00635864"/>
    <w:rsid w:val="00635D34"/>
    <w:rsid w:val="006366AA"/>
    <w:rsid w:val="006366BB"/>
    <w:rsid w:val="006373FE"/>
    <w:rsid w:val="0063758B"/>
    <w:rsid w:val="0064105E"/>
    <w:rsid w:val="00643720"/>
    <w:rsid w:val="006456AF"/>
    <w:rsid w:val="00647454"/>
    <w:rsid w:val="00647497"/>
    <w:rsid w:val="00650D5D"/>
    <w:rsid w:val="00651486"/>
    <w:rsid w:val="00651ED4"/>
    <w:rsid w:val="00652FAD"/>
    <w:rsid w:val="0065593C"/>
    <w:rsid w:val="00656AB5"/>
    <w:rsid w:val="0065778B"/>
    <w:rsid w:val="006603DF"/>
    <w:rsid w:val="00664DD4"/>
    <w:rsid w:val="00666448"/>
    <w:rsid w:val="00666BE6"/>
    <w:rsid w:val="006678C8"/>
    <w:rsid w:val="006703F9"/>
    <w:rsid w:val="00670588"/>
    <w:rsid w:val="00671823"/>
    <w:rsid w:val="006720FC"/>
    <w:rsid w:val="00672795"/>
    <w:rsid w:val="00672861"/>
    <w:rsid w:val="00673725"/>
    <w:rsid w:val="00674339"/>
    <w:rsid w:val="00674EEF"/>
    <w:rsid w:val="00675035"/>
    <w:rsid w:val="00675B6A"/>
    <w:rsid w:val="0067609D"/>
    <w:rsid w:val="0067641F"/>
    <w:rsid w:val="0068493E"/>
    <w:rsid w:val="00687863"/>
    <w:rsid w:val="00687FD5"/>
    <w:rsid w:val="00691328"/>
    <w:rsid w:val="00691DBE"/>
    <w:rsid w:val="00692543"/>
    <w:rsid w:val="00692737"/>
    <w:rsid w:val="00692BD8"/>
    <w:rsid w:val="006A3240"/>
    <w:rsid w:val="006A3F36"/>
    <w:rsid w:val="006A60E2"/>
    <w:rsid w:val="006A652E"/>
    <w:rsid w:val="006A6B7D"/>
    <w:rsid w:val="006A79AB"/>
    <w:rsid w:val="006B0650"/>
    <w:rsid w:val="006B0D81"/>
    <w:rsid w:val="006B0DA7"/>
    <w:rsid w:val="006B19E7"/>
    <w:rsid w:val="006B3964"/>
    <w:rsid w:val="006B477D"/>
    <w:rsid w:val="006B4D83"/>
    <w:rsid w:val="006B564D"/>
    <w:rsid w:val="006B6272"/>
    <w:rsid w:val="006B6827"/>
    <w:rsid w:val="006B69B6"/>
    <w:rsid w:val="006B7059"/>
    <w:rsid w:val="006C01BE"/>
    <w:rsid w:val="006C0C85"/>
    <w:rsid w:val="006C0F04"/>
    <w:rsid w:val="006C1F31"/>
    <w:rsid w:val="006C1FB3"/>
    <w:rsid w:val="006C27CB"/>
    <w:rsid w:val="006C28D3"/>
    <w:rsid w:val="006C3111"/>
    <w:rsid w:val="006C3500"/>
    <w:rsid w:val="006C3C30"/>
    <w:rsid w:val="006C6E47"/>
    <w:rsid w:val="006C797C"/>
    <w:rsid w:val="006C7AE0"/>
    <w:rsid w:val="006D0B68"/>
    <w:rsid w:val="006D1805"/>
    <w:rsid w:val="006D55F8"/>
    <w:rsid w:val="006D59C3"/>
    <w:rsid w:val="006D5DEA"/>
    <w:rsid w:val="006D7010"/>
    <w:rsid w:val="006E04E3"/>
    <w:rsid w:val="006E1898"/>
    <w:rsid w:val="006E3727"/>
    <w:rsid w:val="006E7346"/>
    <w:rsid w:val="006F0AF8"/>
    <w:rsid w:val="006F14FB"/>
    <w:rsid w:val="006F2F47"/>
    <w:rsid w:val="006F316F"/>
    <w:rsid w:val="006F3299"/>
    <w:rsid w:val="006F44A9"/>
    <w:rsid w:val="006F7E83"/>
    <w:rsid w:val="006F7E87"/>
    <w:rsid w:val="00701661"/>
    <w:rsid w:val="007018A2"/>
    <w:rsid w:val="0070376C"/>
    <w:rsid w:val="00705D71"/>
    <w:rsid w:val="00707089"/>
    <w:rsid w:val="0070793B"/>
    <w:rsid w:val="00714B0F"/>
    <w:rsid w:val="007150E0"/>
    <w:rsid w:val="0072019C"/>
    <w:rsid w:val="007203A6"/>
    <w:rsid w:val="00720CF6"/>
    <w:rsid w:val="007215F7"/>
    <w:rsid w:val="00721E7D"/>
    <w:rsid w:val="00722BA8"/>
    <w:rsid w:val="00723677"/>
    <w:rsid w:val="00723BEA"/>
    <w:rsid w:val="007240B4"/>
    <w:rsid w:val="0072650D"/>
    <w:rsid w:val="0073022D"/>
    <w:rsid w:val="00732C62"/>
    <w:rsid w:val="00733041"/>
    <w:rsid w:val="00733DD1"/>
    <w:rsid w:val="0073481E"/>
    <w:rsid w:val="0073492B"/>
    <w:rsid w:val="0074152C"/>
    <w:rsid w:val="00742BAD"/>
    <w:rsid w:val="007435A3"/>
    <w:rsid w:val="007442D8"/>
    <w:rsid w:val="00744D59"/>
    <w:rsid w:val="00746123"/>
    <w:rsid w:val="0074713E"/>
    <w:rsid w:val="00747AF6"/>
    <w:rsid w:val="00751D24"/>
    <w:rsid w:val="007520DB"/>
    <w:rsid w:val="00754814"/>
    <w:rsid w:val="00754962"/>
    <w:rsid w:val="00757BCE"/>
    <w:rsid w:val="007601F3"/>
    <w:rsid w:val="0076114A"/>
    <w:rsid w:val="00761FA9"/>
    <w:rsid w:val="007655D9"/>
    <w:rsid w:val="00765B5E"/>
    <w:rsid w:val="00765DDD"/>
    <w:rsid w:val="007667D5"/>
    <w:rsid w:val="00766C53"/>
    <w:rsid w:val="0076771E"/>
    <w:rsid w:val="00767A6E"/>
    <w:rsid w:val="00770170"/>
    <w:rsid w:val="00771A6E"/>
    <w:rsid w:val="0077287A"/>
    <w:rsid w:val="00775AD7"/>
    <w:rsid w:val="007775F7"/>
    <w:rsid w:val="0077798A"/>
    <w:rsid w:val="00777BF8"/>
    <w:rsid w:val="00783C7F"/>
    <w:rsid w:val="00783D5B"/>
    <w:rsid w:val="0078672F"/>
    <w:rsid w:val="00787259"/>
    <w:rsid w:val="00787BA6"/>
    <w:rsid w:val="007929FD"/>
    <w:rsid w:val="007934A3"/>
    <w:rsid w:val="00794E74"/>
    <w:rsid w:val="00796A12"/>
    <w:rsid w:val="00797638"/>
    <w:rsid w:val="00797F90"/>
    <w:rsid w:val="007A1FB6"/>
    <w:rsid w:val="007A2B4A"/>
    <w:rsid w:val="007A2C8B"/>
    <w:rsid w:val="007A34AE"/>
    <w:rsid w:val="007A54EB"/>
    <w:rsid w:val="007B09E8"/>
    <w:rsid w:val="007B2297"/>
    <w:rsid w:val="007B2CE3"/>
    <w:rsid w:val="007B3FF6"/>
    <w:rsid w:val="007B5BEE"/>
    <w:rsid w:val="007B5F39"/>
    <w:rsid w:val="007B6543"/>
    <w:rsid w:val="007C2F0B"/>
    <w:rsid w:val="007C3FB2"/>
    <w:rsid w:val="007C41A4"/>
    <w:rsid w:val="007C7168"/>
    <w:rsid w:val="007C720A"/>
    <w:rsid w:val="007D07A0"/>
    <w:rsid w:val="007D22A1"/>
    <w:rsid w:val="007D3B7C"/>
    <w:rsid w:val="007D5CCD"/>
    <w:rsid w:val="007D7318"/>
    <w:rsid w:val="007D7A98"/>
    <w:rsid w:val="007D7F87"/>
    <w:rsid w:val="007E0DC1"/>
    <w:rsid w:val="007E15B2"/>
    <w:rsid w:val="007E163B"/>
    <w:rsid w:val="007E257E"/>
    <w:rsid w:val="007E3BB9"/>
    <w:rsid w:val="007E4F06"/>
    <w:rsid w:val="007E5B2A"/>
    <w:rsid w:val="007E6901"/>
    <w:rsid w:val="007E70C0"/>
    <w:rsid w:val="007F0C10"/>
    <w:rsid w:val="007F20A2"/>
    <w:rsid w:val="007F2CAF"/>
    <w:rsid w:val="007F656E"/>
    <w:rsid w:val="007F78EE"/>
    <w:rsid w:val="008004AD"/>
    <w:rsid w:val="008006C4"/>
    <w:rsid w:val="00800A00"/>
    <w:rsid w:val="008018F3"/>
    <w:rsid w:val="0080268D"/>
    <w:rsid w:val="008032DF"/>
    <w:rsid w:val="008048CE"/>
    <w:rsid w:val="00804ACD"/>
    <w:rsid w:val="008056D1"/>
    <w:rsid w:val="008059D9"/>
    <w:rsid w:val="00805C85"/>
    <w:rsid w:val="00806AB1"/>
    <w:rsid w:val="0081051E"/>
    <w:rsid w:val="00810A07"/>
    <w:rsid w:val="00811DF3"/>
    <w:rsid w:val="008135CE"/>
    <w:rsid w:val="00813C18"/>
    <w:rsid w:val="0081632A"/>
    <w:rsid w:val="008164FA"/>
    <w:rsid w:val="0081768E"/>
    <w:rsid w:val="008209B8"/>
    <w:rsid w:val="00820CE0"/>
    <w:rsid w:val="00822168"/>
    <w:rsid w:val="00823296"/>
    <w:rsid w:val="00823C54"/>
    <w:rsid w:val="00826CB3"/>
    <w:rsid w:val="00827910"/>
    <w:rsid w:val="00830014"/>
    <w:rsid w:val="0083084C"/>
    <w:rsid w:val="0083132A"/>
    <w:rsid w:val="008314A6"/>
    <w:rsid w:val="00834CD1"/>
    <w:rsid w:val="00836D2B"/>
    <w:rsid w:val="0084155F"/>
    <w:rsid w:val="00845380"/>
    <w:rsid w:val="0084591F"/>
    <w:rsid w:val="00845939"/>
    <w:rsid w:val="00846171"/>
    <w:rsid w:val="00846FEB"/>
    <w:rsid w:val="0084724C"/>
    <w:rsid w:val="00850ED5"/>
    <w:rsid w:val="008536FF"/>
    <w:rsid w:val="0085375C"/>
    <w:rsid w:val="0085379C"/>
    <w:rsid w:val="00855277"/>
    <w:rsid w:val="00856D4A"/>
    <w:rsid w:val="008610D3"/>
    <w:rsid w:val="00863A22"/>
    <w:rsid w:val="00864F87"/>
    <w:rsid w:val="008652C9"/>
    <w:rsid w:val="00866346"/>
    <w:rsid w:val="00866A29"/>
    <w:rsid w:val="00867C1F"/>
    <w:rsid w:val="008712EA"/>
    <w:rsid w:val="00872A3E"/>
    <w:rsid w:val="00874327"/>
    <w:rsid w:val="00874648"/>
    <w:rsid w:val="008757B2"/>
    <w:rsid w:val="00880267"/>
    <w:rsid w:val="00882009"/>
    <w:rsid w:val="00882C9A"/>
    <w:rsid w:val="008844D7"/>
    <w:rsid w:val="008856A6"/>
    <w:rsid w:val="00885F7F"/>
    <w:rsid w:val="0089055B"/>
    <w:rsid w:val="00890A3C"/>
    <w:rsid w:val="008912FB"/>
    <w:rsid w:val="00892B27"/>
    <w:rsid w:val="00892C09"/>
    <w:rsid w:val="008934CD"/>
    <w:rsid w:val="00895D95"/>
    <w:rsid w:val="0089658B"/>
    <w:rsid w:val="00896F2D"/>
    <w:rsid w:val="008A14CF"/>
    <w:rsid w:val="008A47C4"/>
    <w:rsid w:val="008A4EB1"/>
    <w:rsid w:val="008A527C"/>
    <w:rsid w:val="008A5C4C"/>
    <w:rsid w:val="008A6219"/>
    <w:rsid w:val="008A62EB"/>
    <w:rsid w:val="008A6C5E"/>
    <w:rsid w:val="008A6E1C"/>
    <w:rsid w:val="008B098F"/>
    <w:rsid w:val="008B1E2E"/>
    <w:rsid w:val="008B52ED"/>
    <w:rsid w:val="008B655D"/>
    <w:rsid w:val="008C0A70"/>
    <w:rsid w:val="008C0DA4"/>
    <w:rsid w:val="008C23AF"/>
    <w:rsid w:val="008C2A76"/>
    <w:rsid w:val="008C2D39"/>
    <w:rsid w:val="008C2ECC"/>
    <w:rsid w:val="008C6D47"/>
    <w:rsid w:val="008C70E2"/>
    <w:rsid w:val="008D2DB7"/>
    <w:rsid w:val="008D4DB1"/>
    <w:rsid w:val="008D4F08"/>
    <w:rsid w:val="008E077D"/>
    <w:rsid w:val="008E2564"/>
    <w:rsid w:val="008E42B5"/>
    <w:rsid w:val="008E7960"/>
    <w:rsid w:val="008F16EA"/>
    <w:rsid w:val="008F322E"/>
    <w:rsid w:val="008F370B"/>
    <w:rsid w:val="008F4111"/>
    <w:rsid w:val="008F4A3A"/>
    <w:rsid w:val="008F4D08"/>
    <w:rsid w:val="008F7927"/>
    <w:rsid w:val="008F7E47"/>
    <w:rsid w:val="009002F6"/>
    <w:rsid w:val="00900AC7"/>
    <w:rsid w:val="009048D7"/>
    <w:rsid w:val="00904C4F"/>
    <w:rsid w:val="00906E5A"/>
    <w:rsid w:val="00907A4D"/>
    <w:rsid w:val="00907F4D"/>
    <w:rsid w:val="009126DF"/>
    <w:rsid w:val="00912B05"/>
    <w:rsid w:val="00912C18"/>
    <w:rsid w:val="009205D9"/>
    <w:rsid w:val="00920899"/>
    <w:rsid w:val="00920991"/>
    <w:rsid w:val="009228F4"/>
    <w:rsid w:val="00923847"/>
    <w:rsid w:val="009254D1"/>
    <w:rsid w:val="00927EAB"/>
    <w:rsid w:val="00930196"/>
    <w:rsid w:val="0093200E"/>
    <w:rsid w:val="00932DE6"/>
    <w:rsid w:val="00932FAD"/>
    <w:rsid w:val="00933156"/>
    <w:rsid w:val="00936F45"/>
    <w:rsid w:val="00941EB7"/>
    <w:rsid w:val="00942BFD"/>
    <w:rsid w:val="0094352E"/>
    <w:rsid w:val="00946159"/>
    <w:rsid w:val="00946F3F"/>
    <w:rsid w:val="00947731"/>
    <w:rsid w:val="00947E78"/>
    <w:rsid w:val="0095105E"/>
    <w:rsid w:val="00951E57"/>
    <w:rsid w:val="00952B07"/>
    <w:rsid w:val="009540C7"/>
    <w:rsid w:val="009544FB"/>
    <w:rsid w:val="00955CA2"/>
    <w:rsid w:val="009568A1"/>
    <w:rsid w:val="009569CF"/>
    <w:rsid w:val="009574F7"/>
    <w:rsid w:val="0096029C"/>
    <w:rsid w:val="0096092B"/>
    <w:rsid w:val="00960C25"/>
    <w:rsid w:val="00960D8D"/>
    <w:rsid w:val="00962E52"/>
    <w:rsid w:val="009631DC"/>
    <w:rsid w:val="00963D77"/>
    <w:rsid w:val="009654C9"/>
    <w:rsid w:val="00965B73"/>
    <w:rsid w:val="0096714F"/>
    <w:rsid w:val="00970E13"/>
    <w:rsid w:val="00972215"/>
    <w:rsid w:val="00973B7E"/>
    <w:rsid w:val="009758B0"/>
    <w:rsid w:val="00982657"/>
    <w:rsid w:val="009838A0"/>
    <w:rsid w:val="00984CC2"/>
    <w:rsid w:val="00986329"/>
    <w:rsid w:val="0098706D"/>
    <w:rsid w:val="00990823"/>
    <w:rsid w:val="009938ED"/>
    <w:rsid w:val="0099437D"/>
    <w:rsid w:val="00997EA6"/>
    <w:rsid w:val="009A36DE"/>
    <w:rsid w:val="009A3FFF"/>
    <w:rsid w:val="009A4E73"/>
    <w:rsid w:val="009A6822"/>
    <w:rsid w:val="009A68D8"/>
    <w:rsid w:val="009A68E8"/>
    <w:rsid w:val="009A779A"/>
    <w:rsid w:val="009B0FA0"/>
    <w:rsid w:val="009B2386"/>
    <w:rsid w:val="009B39BB"/>
    <w:rsid w:val="009B5201"/>
    <w:rsid w:val="009B530F"/>
    <w:rsid w:val="009B6064"/>
    <w:rsid w:val="009C32C5"/>
    <w:rsid w:val="009C33E4"/>
    <w:rsid w:val="009D0459"/>
    <w:rsid w:val="009D33C1"/>
    <w:rsid w:val="009D3BE3"/>
    <w:rsid w:val="009D56F5"/>
    <w:rsid w:val="009D5C8A"/>
    <w:rsid w:val="009D6796"/>
    <w:rsid w:val="009E0048"/>
    <w:rsid w:val="009E03E0"/>
    <w:rsid w:val="009E048A"/>
    <w:rsid w:val="009E0C52"/>
    <w:rsid w:val="009E66F2"/>
    <w:rsid w:val="009E7B43"/>
    <w:rsid w:val="009E7B94"/>
    <w:rsid w:val="009E7BB3"/>
    <w:rsid w:val="009F4BC9"/>
    <w:rsid w:val="009F60BC"/>
    <w:rsid w:val="009F699B"/>
    <w:rsid w:val="00A014A7"/>
    <w:rsid w:val="00A024D3"/>
    <w:rsid w:val="00A04B0D"/>
    <w:rsid w:val="00A07218"/>
    <w:rsid w:val="00A10AFE"/>
    <w:rsid w:val="00A11629"/>
    <w:rsid w:val="00A128F9"/>
    <w:rsid w:val="00A12C29"/>
    <w:rsid w:val="00A13B1A"/>
    <w:rsid w:val="00A13B79"/>
    <w:rsid w:val="00A13C67"/>
    <w:rsid w:val="00A14594"/>
    <w:rsid w:val="00A151C3"/>
    <w:rsid w:val="00A16B84"/>
    <w:rsid w:val="00A17CB0"/>
    <w:rsid w:val="00A22461"/>
    <w:rsid w:val="00A226AD"/>
    <w:rsid w:val="00A227EE"/>
    <w:rsid w:val="00A23190"/>
    <w:rsid w:val="00A258B4"/>
    <w:rsid w:val="00A313C4"/>
    <w:rsid w:val="00A31E88"/>
    <w:rsid w:val="00A3211D"/>
    <w:rsid w:val="00A334F2"/>
    <w:rsid w:val="00A346F6"/>
    <w:rsid w:val="00A34ABE"/>
    <w:rsid w:val="00A35D8A"/>
    <w:rsid w:val="00A36407"/>
    <w:rsid w:val="00A36932"/>
    <w:rsid w:val="00A36BDB"/>
    <w:rsid w:val="00A41BB6"/>
    <w:rsid w:val="00A41ECE"/>
    <w:rsid w:val="00A42029"/>
    <w:rsid w:val="00A43A06"/>
    <w:rsid w:val="00A44B96"/>
    <w:rsid w:val="00A47676"/>
    <w:rsid w:val="00A50839"/>
    <w:rsid w:val="00A508E6"/>
    <w:rsid w:val="00A50C94"/>
    <w:rsid w:val="00A514B5"/>
    <w:rsid w:val="00A514D4"/>
    <w:rsid w:val="00A51610"/>
    <w:rsid w:val="00A531B1"/>
    <w:rsid w:val="00A537AB"/>
    <w:rsid w:val="00A53C17"/>
    <w:rsid w:val="00A54E70"/>
    <w:rsid w:val="00A55CC1"/>
    <w:rsid w:val="00A57A4A"/>
    <w:rsid w:val="00A6190B"/>
    <w:rsid w:val="00A63514"/>
    <w:rsid w:val="00A64981"/>
    <w:rsid w:val="00A64F79"/>
    <w:rsid w:val="00A662B0"/>
    <w:rsid w:val="00A66453"/>
    <w:rsid w:val="00A6698C"/>
    <w:rsid w:val="00A66B40"/>
    <w:rsid w:val="00A76128"/>
    <w:rsid w:val="00A76161"/>
    <w:rsid w:val="00A80986"/>
    <w:rsid w:val="00A82AAF"/>
    <w:rsid w:val="00A83BE3"/>
    <w:rsid w:val="00A86E35"/>
    <w:rsid w:val="00A9073E"/>
    <w:rsid w:val="00A911D5"/>
    <w:rsid w:val="00A937F0"/>
    <w:rsid w:val="00AA13B9"/>
    <w:rsid w:val="00AA1CF0"/>
    <w:rsid w:val="00AA35B3"/>
    <w:rsid w:val="00AA7CEF"/>
    <w:rsid w:val="00AA7FFE"/>
    <w:rsid w:val="00AB0DA2"/>
    <w:rsid w:val="00AB5B5C"/>
    <w:rsid w:val="00AC2EEB"/>
    <w:rsid w:val="00AC3C33"/>
    <w:rsid w:val="00AC46BF"/>
    <w:rsid w:val="00AC6EE0"/>
    <w:rsid w:val="00AC722B"/>
    <w:rsid w:val="00AC7FDE"/>
    <w:rsid w:val="00AD1307"/>
    <w:rsid w:val="00AD1545"/>
    <w:rsid w:val="00AD16FD"/>
    <w:rsid w:val="00AD1D11"/>
    <w:rsid w:val="00AD28F1"/>
    <w:rsid w:val="00AD532F"/>
    <w:rsid w:val="00AD6985"/>
    <w:rsid w:val="00AD6E39"/>
    <w:rsid w:val="00AE1DDB"/>
    <w:rsid w:val="00AE1E9C"/>
    <w:rsid w:val="00AE202C"/>
    <w:rsid w:val="00AE2C34"/>
    <w:rsid w:val="00AE537B"/>
    <w:rsid w:val="00AE599B"/>
    <w:rsid w:val="00AF02F8"/>
    <w:rsid w:val="00AF0A2D"/>
    <w:rsid w:val="00AF5653"/>
    <w:rsid w:val="00AF56EC"/>
    <w:rsid w:val="00AF7BE3"/>
    <w:rsid w:val="00AF7E7B"/>
    <w:rsid w:val="00B02E9F"/>
    <w:rsid w:val="00B03EC3"/>
    <w:rsid w:val="00B04193"/>
    <w:rsid w:val="00B043E5"/>
    <w:rsid w:val="00B07464"/>
    <w:rsid w:val="00B11389"/>
    <w:rsid w:val="00B11AB6"/>
    <w:rsid w:val="00B11CF9"/>
    <w:rsid w:val="00B12297"/>
    <w:rsid w:val="00B12401"/>
    <w:rsid w:val="00B130C3"/>
    <w:rsid w:val="00B13559"/>
    <w:rsid w:val="00B149AC"/>
    <w:rsid w:val="00B174A4"/>
    <w:rsid w:val="00B20812"/>
    <w:rsid w:val="00B20A57"/>
    <w:rsid w:val="00B218DF"/>
    <w:rsid w:val="00B22443"/>
    <w:rsid w:val="00B235D7"/>
    <w:rsid w:val="00B2373D"/>
    <w:rsid w:val="00B27DFD"/>
    <w:rsid w:val="00B3113F"/>
    <w:rsid w:val="00B34D6D"/>
    <w:rsid w:val="00B35152"/>
    <w:rsid w:val="00B37F66"/>
    <w:rsid w:val="00B403EE"/>
    <w:rsid w:val="00B44B29"/>
    <w:rsid w:val="00B56460"/>
    <w:rsid w:val="00B611C9"/>
    <w:rsid w:val="00B613A7"/>
    <w:rsid w:val="00B621E5"/>
    <w:rsid w:val="00B66A48"/>
    <w:rsid w:val="00B66AC7"/>
    <w:rsid w:val="00B67080"/>
    <w:rsid w:val="00B679CE"/>
    <w:rsid w:val="00B70266"/>
    <w:rsid w:val="00B71DD4"/>
    <w:rsid w:val="00B71F48"/>
    <w:rsid w:val="00B720CE"/>
    <w:rsid w:val="00B83D72"/>
    <w:rsid w:val="00B83E6E"/>
    <w:rsid w:val="00B8454A"/>
    <w:rsid w:val="00B85F19"/>
    <w:rsid w:val="00B86855"/>
    <w:rsid w:val="00B86EF7"/>
    <w:rsid w:val="00B9081B"/>
    <w:rsid w:val="00B90FCB"/>
    <w:rsid w:val="00B94A6B"/>
    <w:rsid w:val="00B96096"/>
    <w:rsid w:val="00B96414"/>
    <w:rsid w:val="00B97BFE"/>
    <w:rsid w:val="00BA27B5"/>
    <w:rsid w:val="00BA32A6"/>
    <w:rsid w:val="00BA6B76"/>
    <w:rsid w:val="00BB0542"/>
    <w:rsid w:val="00BB1B12"/>
    <w:rsid w:val="00BB5608"/>
    <w:rsid w:val="00BB78FE"/>
    <w:rsid w:val="00BC217A"/>
    <w:rsid w:val="00BC26EB"/>
    <w:rsid w:val="00BC4763"/>
    <w:rsid w:val="00BC4874"/>
    <w:rsid w:val="00BC603D"/>
    <w:rsid w:val="00BC6642"/>
    <w:rsid w:val="00BD0EDE"/>
    <w:rsid w:val="00BD238D"/>
    <w:rsid w:val="00BD23BF"/>
    <w:rsid w:val="00BD262D"/>
    <w:rsid w:val="00BD4827"/>
    <w:rsid w:val="00BD6935"/>
    <w:rsid w:val="00BD7846"/>
    <w:rsid w:val="00BE1940"/>
    <w:rsid w:val="00BE300F"/>
    <w:rsid w:val="00BE4752"/>
    <w:rsid w:val="00BE6B06"/>
    <w:rsid w:val="00BF08BC"/>
    <w:rsid w:val="00BF4194"/>
    <w:rsid w:val="00BF72B6"/>
    <w:rsid w:val="00BF7AB1"/>
    <w:rsid w:val="00C01740"/>
    <w:rsid w:val="00C02CFA"/>
    <w:rsid w:val="00C038B1"/>
    <w:rsid w:val="00C03A9A"/>
    <w:rsid w:val="00C04598"/>
    <w:rsid w:val="00C05E82"/>
    <w:rsid w:val="00C066BE"/>
    <w:rsid w:val="00C0699F"/>
    <w:rsid w:val="00C073E7"/>
    <w:rsid w:val="00C079B4"/>
    <w:rsid w:val="00C10E7B"/>
    <w:rsid w:val="00C10EB7"/>
    <w:rsid w:val="00C1159D"/>
    <w:rsid w:val="00C146E9"/>
    <w:rsid w:val="00C156F2"/>
    <w:rsid w:val="00C17F4B"/>
    <w:rsid w:val="00C2002C"/>
    <w:rsid w:val="00C220EE"/>
    <w:rsid w:val="00C22B2E"/>
    <w:rsid w:val="00C23794"/>
    <w:rsid w:val="00C2485A"/>
    <w:rsid w:val="00C25C82"/>
    <w:rsid w:val="00C25F82"/>
    <w:rsid w:val="00C25FAB"/>
    <w:rsid w:val="00C2790E"/>
    <w:rsid w:val="00C27B73"/>
    <w:rsid w:val="00C31AB9"/>
    <w:rsid w:val="00C3220E"/>
    <w:rsid w:val="00C32824"/>
    <w:rsid w:val="00C34009"/>
    <w:rsid w:val="00C3570B"/>
    <w:rsid w:val="00C36073"/>
    <w:rsid w:val="00C37223"/>
    <w:rsid w:val="00C37C23"/>
    <w:rsid w:val="00C402A6"/>
    <w:rsid w:val="00C40884"/>
    <w:rsid w:val="00C40F93"/>
    <w:rsid w:val="00C41E5F"/>
    <w:rsid w:val="00C425EB"/>
    <w:rsid w:val="00C42DE9"/>
    <w:rsid w:val="00C46627"/>
    <w:rsid w:val="00C46E63"/>
    <w:rsid w:val="00C470E7"/>
    <w:rsid w:val="00C473E3"/>
    <w:rsid w:val="00C4778D"/>
    <w:rsid w:val="00C506F8"/>
    <w:rsid w:val="00C52C60"/>
    <w:rsid w:val="00C5467E"/>
    <w:rsid w:val="00C57AD7"/>
    <w:rsid w:val="00C625F4"/>
    <w:rsid w:val="00C6375F"/>
    <w:rsid w:val="00C647AD"/>
    <w:rsid w:val="00C65BC7"/>
    <w:rsid w:val="00C661A7"/>
    <w:rsid w:val="00C6626F"/>
    <w:rsid w:val="00C70903"/>
    <w:rsid w:val="00C7234E"/>
    <w:rsid w:val="00C80277"/>
    <w:rsid w:val="00C81FCD"/>
    <w:rsid w:val="00C82496"/>
    <w:rsid w:val="00C84018"/>
    <w:rsid w:val="00C84D0C"/>
    <w:rsid w:val="00C8655F"/>
    <w:rsid w:val="00C87793"/>
    <w:rsid w:val="00C90075"/>
    <w:rsid w:val="00C90639"/>
    <w:rsid w:val="00C9090F"/>
    <w:rsid w:val="00C90D0E"/>
    <w:rsid w:val="00C92CC8"/>
    <w:rsid w:val="00CA0DB7"/>
    <w:rsid w:val="00CA28F0"/>
    <w:rsid w:val="00CA2AAF"/>
    <w:rsid w:val="00CA4CD2"/>
    <w:rsid w:val="00CA56FD"/>
    <w:rsid w:val="00CA5C0F"/>
    <w:rsid w:val="00CA702D"/>
    <w:rsid w:val="00CB1077"/>
    <w:rsid w:val="00CB2BE9"/>
    <w:rsid w:val="00CB4418"/>
    <w:rsid w:val="00CB49BE"/>
    <w:rsid w:val="00CB569F"/>
    <w:rsid w:val="00CB5B5F"/>
    <w:rsid w:val="00CB7169"/>
    <w:rsid w:val="00CB72F5"/>
    <w:rsid w:val="00CB77FC"/>
    <w:rsid w:val="00CB788C"/>
    <w:rsid w:val="00CC0CD0"/>
    <w:rsid w:val="00CC1BA4"/>
    <w:rsid w:val="00CC3B63"/>
    <w:rsid w:val="00CC4200"/>
    <w:rsid w:val="00CC4AF2"/>
    <w:rsid w:val="00CC5734"/>
    <w:rsid w:val="00CC6B63"/>
    <w:rsid w:val="00CC6BF8"/>
    <w:rsid w:val="00CC6E53"/>
    <w:rsid w:val="00CC6F23"/>
    <w:rsid w:val="00CD0A80"/>
    <w:rsid w:val="00CD1682"/>
    <w:rsid w:val="00CD2693"/>
    <w:rsid w:val="00CD2B2B"/>
    <w:rsid w:val="00CD3A63"/>
    <w:rsid w:val="00CD3B66"/>
    <w:rsid w:val="00CD48FB"/>
    <w:rsid w:val="00CD5FE7"/>
    <w:rsid w:val="00CD6057"/>
    <w:rsid w:val="00CD6FDD"/>
    <w:rsid w:val="00CE0245"/>
    <w:rsid w:val="00CE2434"/>
    <w:rsid w:val="00CE2E70"/>
    <w:rsid w:val="00CE4D76"/>
    <w:rsid w:val="00CE7378"/>
    <w:rsid w:val="00CE7E83"/>
    <w:rsid w:val="00CF0E34"/>
    <w:rsid w:val="00CF15F5"/>
    <w:rsid w:val="00CF2AB3"/>
    <w:rsid w:val="00CF2B55"/>
    <w:rsid w:val="00CF2C04"/>
    <w:rsid w:val="00CF30FD"/>
    <w:rsid w:val="00CF3B11"/>
    <w:rsid w:val="00CF6F1C"/>
    <w:rsid w:val="00CF7C47"/>
    <w:rsid w:val="00D01E04"/>
    <w:rsid w:val="00D05237"/>
    <w:rsid w:val="00D07042"/>
    <w:rsid w:val="00D116C7"/>
    <w:rsid w:val="00D11B88"/>
    <w:rsid w:val="00D22563"/>
    <w:rsid w:val="00D2260E"/>
    <w:rsid w:val="00D22751"/>
    <w:rsid w:val="00D276B3"/>
    <w:rsid w:val="00D30A3C"/>
    <w:rsid w:val="00D34C81"/>
    <w:rsid w:val="00D3501E"/>
    <w:rsid w:val="00D36ADD"/>
    <w:rsid w:val="00D42C55"/>
    <w:rsid w:val="00D44059"/>
    <w:rsid w:val="00D45E15"/>
    <w:rsid w:val="00D47004"/>
    <w:rsid w:val="00D47179"/>
    <w:rsid w:val="00D52564"/>
    <w:rsid w:val="00D52C12"/>
    <w:rsid w:val="00D5489C"/>
    <w:rsid w:val="00D56024"/>
    <w:rsid w:val="00D61327"/>
    <w:rsid w:val="00D62447"/>
    <w:rsid w:val="00D63487"/>
    <w:rsid w:val="00D63C70"/>
    <w:rsid w:val="00D64D27"/>
    <w:rsid w:val="00D66D45"/>
    <w:rsid w:val="00D67F90"/>
    <w:rsid w:val="00D70483"/>
    <w:rsid w:val="00D70AA0"/>
    <w:rsid w:val="00D70D5D"/>
    <w:rsid w:val="00D72F3E"/>
    <w:rsid w:val="00D739B9"/>
    <w:rsid w:val="00D769D9"/>
    <w:rsid w:val="00D81A20"/>
    <w:rsid w:val="00D93269"/>
    <w:rsid w:val="00D95799"/>
    <w:rsid w:val="00D9592E"/>
    <w:rsid w:val="00D95A73"/>
    <w:rsid w:val="00DA1674"/>
    <w:rsid w:val="00DA2D2F"/>
    <w:rsid w:val="00DA3479"/>
    <w:rsid w:val="00DA35B8"/>
    <w:rsid w:val="00DA3C29"/>
    <w:rsid w:val="00DA4644"/>
    <w:rsid w:val="00DA4F51"/>
    <w:rsid w:val="00DA61A4"/>
    <w:rsid w:val="00DA61D1"/>
    <w:rsid w:val="00DA62EB"/>
    <w:rsid w:val="00DA660D"/>
    <w:rsid w:val="00DA7C04"/>
    <w:rsid w:val="00DA7E10"/>
    <w:rsid w:val="00DA7F9D"/>
    <w:rsid w:val="00DB0959"/>
    <w:rsid w:val="00DB236F"/>
    <w:rsid w:val="00DB2E10"/>
    <w:rsid w:val="00DB2E40"/>
    <w:rsid w:val="00DB3DF7"/>
    <w:rsid w:val="00DB70A1"/>
    <w:rsid w:val="00DC1492"/>
    <w:rsid w:val="00DC771C"/>
    <w:rsid w:val="00DC7779"/>
    <w:rsid w:val="00DD1F7E"/>
    <w:rsid w:val="00DD22FF"/>
    <w:rsid w:val="00DD36DA"/>
    <w:rsid w:val="00DD36F6"/>
    <w:rsid w:val="00DD401E"/>
    <w:rsid w:val="00DD4E2B"/>
    <w:rsid w:val="00DD4F1F"/>
    <w:rsid w:val="00DD6E8E"/>
    <w:rsid w:val="00DD6FA2"/>
    <w:rsid w:val="00DE01BC"/>
    <w:rsid w:val="00DE12C5"/>
    <w:rsid w:val="00DE1BC9"/>
    <w:rsid w:val="00DE282D"/>
    <w:rsid w:val="00DE2A3B"/>
    <w:rsid w:val="00DE3310"/>
    <w:rsid w:val="00DE332F"/>
    <w:rsid w:val="00DE55C5"/>
    <w:rsid w:val="00DE6F24"/>
    <w:rsid w:val="00DE7852"/>
    <w:rsid w:val="00DF1145"/>
    <w:rsid w:val="00DF3103"/>
    <w:rsid w:val="00DF338A"/>
    <w:rsid w:val="00DF373E"/>
    <w:rsid w:val="00DF730F"/>
    <w:rsid w:val="00E00301"/>
    <w:rsid w:val="00E043A6"/>
    <w:rsid w:val="00E060CA"/>
    <w:rsid w:val="00E07DA8"/>
    <w:rsid w:val="00E10938"/>
    <w:rsid w:val="00E11F31"/>
    <w:rsid w:val="00E12773"/>
    <w:rsid w:val="00E155D6"/>
    <w:rsid w:val="00E15E03"/>
    <w:rsid w:val="00E16069"/>
    <w:rsid w:val="00E16282"/>
    <w:rsid w:val="00E16D87"/>
    <w:rsid w:val="00E205DC"/>
    <w:rsid w:val="00E211DD"/>
    <w:rsid w:val="00E22862"/>
    <w:rsid w:val="00E22CC1"/>
    <w:rsid w:val="00E22D04"/>
    <w:rsid w:val="00E240EE"/>
    <w:rsid w:val="00E242B3"/>
    <w:rsid w:val="00E2568D"/>
    <w:rsid w:val="00E26466"/>
    <w:rsid w:val="00E2738D"/>
    <w:rsid w:val="00E30079"/>
    <w:rsid w:val="00E30D93"/>
    <w:rsid w:val="00E31527"/>
    <w:rsid w:val="00E33122"/>
    <w:rsid w:val="00E34BD0"/>
    <w:rsid w:val="00E35348"/>
    <w:rsid w:val="00E4398B"/>
    <w:rsid w:val="00E45426"/>
    <w:rsid w:val="00E47D48"/>
    <w:rsid w:val="00E50EFD"/>
    <w:rsid w:val="00E51394"/>
    <w:rsid w:val="00E51F04"/>
    <w:rsid w:val="00E630B5"/>
    <w:rsid w:val="00E635BA"/>
    <w:rsid w:val="00E64A2B"/>
    <w:rsid w:val="00E6798E"/>
    <w:rsid w:val="00E7066D"/>
    <w:rsid w:val="00E71143"/>
    <w:rsid w:val="00E7150C"/>
    <w:rsid w:val="00E71CE0"/>
    <w:rsid w:val="00E71F64"/>
    <w:rsid w:val="00E72542"/>
    <w:rsid w:val="00E72E41"/>
    <w:rsid w:val="00E73146"/>
    <w:rsid w:val="00E800B7"/>
    <w:rsid w:val="00E80963"/>
    <w:rsid w:val="00E81181"/>
    <w:rsid w:val="00E81A6C"/>
    <w:rsid w:val="00E82864"/>
    <w:rsid w:val="00E831EF"/>
    <w:rsid w:val="00E87F93"/>
    <w:rsid w:val="00E9372B"/>
    <w:rsid w:val="00E9378C"/>
    <w:rsid w:val="00E96A50"/>
    <w:rsid w:val="00E97159"/>
    <w:rsid w:val="00EA014B"/>
    <w:rsid w:val="00EA10E9"/>
    <w:rsid w:val="00EA119C"/>
    <w:rsid w:val="00EA38FE"/>
    <w:rsid w:val="00EA3D96"/>
    <w:rsid w:val="00EA69D5"/>
    <w:rsid w:val="00EB3617"/>
    <w:rsid w:val="00EB667B"/>
    <w:rsid w:val="00EB6C20"/>
    <w:rsid w:val="00EC2066"/>
    <w:rsid w:val="00EC4D62"/>
    <w:rsid w:val="00EC58D0"/>
    <w:rsid w:val="00EC6515"/>
    <w:rsid w:val="00EC65FC"/>
    <w:rsid w:val="00EC6EE5"/>
    <w:rsid w:val="00ED0708"/>
    <w:rsid w:val="00ED0841"/>
    <w:rsid w:val="00ED1DB9"/>
    <w:rsid w:val="00ED42C1"/>
    <w:rsid w:val="00ED4369"/>
    <w:rsid w:val="00ED4455"/>
    <w:rsid w:val="00ED4A10"/>
    <w:rsid w:val="00ED4E77"/>
    <w:rsid w:val="00ED5925"/>
    <w:rsid w:val="00ED62D2"/>
    <w:rsid w:val="00ED66B1"/>
    <w:rsid w:val="00EE07E1"/>
    <w:rsid w:val="00EE1F70"/>
    <w:rsid w:val="00EE25D2"/>
    <w:rsid w:val="00EE297C"/>
    <w:rsid w:val="00EE3DE3"/>
    <w:rsid w:val="00EE3E3F"/>
    <w:rsid w:val="00EE4E4F"/>
    <w:rsid w:val="00EE6056"/>
    <w:rsid w:val="00EF0D12"/>
    <w:rsid w:val="00EF177A"/>
    <w:rsid w:val="00EF35A2"/>
    <w:rsid w:val="00EF360F"/>
    <w:rsid w:val="00EF3893"/>
    <w:rsid w:val="00EF4D69"/>
    <w:rsid w:val="00EF6530"/>
    <w:rsid w:val="00F0080A"/>
    <w:rsid w:val="00F05AAD"/>
    <w:rsid w:val="00F112A4"/>
    <w:rsid w:val="00F1159D"/>
    <w:rsid w:val="00F123B6"/>
    <w:rsid w:val="00F13796"/>
    <w:rsid w:val="00F13B98"/>
    <w:rsid w:val="00F142A4"/>
    <w:rsid w:val="00F15DFA"/>
    <w:rsid w:val="00F1600A"/>
    <w:rsid w:val="00F165DC"/>
    <w:rsid w:val="00F167F6"/>
    <w:rsid w:val="00F218FF"/>
    <w:rsid w:val="00F21A56"/>
    <w:rsid w:val="00F2379D"/>
    <w:rsid w:val="00F2454B"/>
    <w:rsid w:val="00F2571F"/>
    <w:rsid w:val="00F258CB"/>
    <w:rsid w:val="00F263BF"/>
    <w:rsid w:val="00F26880"/>
    <w:rsid w:val="00F26BA1"/>
    <w:rsid w:val="00F27800"/>
    <w:rsid w:val="00F31071"/>
    <w:rsid w:val="00F3112A"/>
    <w:rsid w:val="00F3118E"/>
    <w:rsid w:val="00F32507"/>
    <w:rsid w:val="00F33888"/>
    <w:rsid w:val="00F34AB1"/>
    <w:rsid w:val="00F3724D"/>
    <w:rsid w:val="00F37290"/>
    <w:rsid w:val="00F3784A"/>
    <w:rsid w:val="00F402DD"/>
    <w:rsid w:val="00F43006"/>
    <w:rsid w:val="00F43DCB"/>
    <w:rsid w:val="00F4476C"/>
    <w:rsid w:val="00F46705"/>
    <w:rsid w:val="00F46BFD"/>
    <w:rsid w:val="00F46CE5"/>
    <w:rsid w:val="00F46FF8"/>
    <w:rsid w:val="00F506F8"/>
    <w:rsid w:val="00F526B5"/>
    <w:rsid w:val="00F528F7"/>
    <w:rsid w:val="00F52EA4"/>
    <w:rsid w:val="00F53B5D"/>
    <w:rsid w:val="00F54A7A"/>
    <w:rsid w:val="00F55A98"/>
    <w:rsid w:val="00F56CF8"/>
    <w:rsid w:val="00F61675"/>
    <w:rsid w:val="00F61FE1"/>
    <w:rsid w:val="00F63DC7"/>
    <w:rsid w:val="00F64402"/>
    <w:rsid w:val="00F64798"/>
    <w:rsid w:val="00F6484B"/>
    <w:rsid w:val="00F64DD1"/>
    <w:rsid w:val="00F65C6B"/>
    <w:rsid w:val="00F66689"/>
    <w:rsid w:val="00F705B0"/>
    <w:rsid w:val="00F72830"/>
    <w:rsid w:val="00F72F43"/>
    <w:rsid w:val="00F733C3"/>
    <w:rsid w:val="00F73E61"/>
    <w:rsid w:val="00F74CEB"/>
    <w:rsid w:val="00F7562A"/>
    <w:rsid w:val="00F75B83"/>
    <w:rsid w:val="00F76DBC"/>
    <w:rsid w:val="00F816D5"/>
    <w:rsid w:val="00F845D2"/>
    <w:rsid w:val="00F84695"/>
    <w:rsid w:val="00F84AE2"/>
    <w:rsid w:val="00F85DFD"/>
    <w:rsid w:val="00F9096A"/>
    <w:rsid w:val="00F90C45"/>
    <w:rsid w:val="00F91042"/>
    <w:rsid w:val="00F925FB"/>
    <w:rsid w:val="00F93172"/>
    <w:rsid w:val="00F94184"/>
    <w:rsid w:val="00F94744"/>
    <w:rsid w:val="00F9476A"/>
    <w:rsid w:val="00F94EE8"/>
    <w:rsid w:val="00F97EDE"/>
    <w:rsid w:val="00FA0B66"/>
    <w:rsid w:val="00FA0E00"/>
    <w:rsid w:val="00FA125F"/>
    <w:rsid w:val="00FA143A"/>
    <w:rsid w:val="00FA1595"/>
    <w:rsid w:val="00FA2B63"/>
    <w:rsid w:val="00FA3578"/>
    <w:rsid w:val="00FA430C"/>
    <w:rsid w:val="00FA4649"/>
    <w:rsid w:val="00FA47D3"/>
    <w:rsid w:val="00FA4D51"/>
    <w:rsid w:val="00FA56EE"/>
    <w:rsid w:val="00FA717F"/>
    <w:rsid w:val="00FB14DE"/>
    <w:rsid w:val="00FB2122"/>
    <w:rsid w:val="00FB5107"/>
    <w:rsid w:val="00FB6683"/>
    <w:rsid w:val="00FB708A"/>
    <w:rsid w:val="00FB7E0C"/>
    <w:rsid w:val="00FC1B43"/>
    <w:rsid w:val="00FC26F0"/>
    <w:rsid w:val="00FC4674"/>
    <w:rsid w:val="00FC51AF"/>
    <w:rsid w:val="00FC599F"/>
    <w:rsid w:val="00FC6E29"/>
    <w:rsid w:val="00FC6FDC"/>
    <w:rsid w:val="00FC7822"/>
    <w:rsid w:val="00FD0EA5"/>
    <w:rsid w:val="00FD14A4"/>
    <w:rsid w:val="00FD303D"/>
    <w:rsid w:val="00FD3A5B"/>
    <w:rsid w:val="00FD738E"/>
    <w:rsid w:val="00FE0C70"/>
    <w:rsid w:val="00FE1D17"/>
    <w:rsid w:val="00FE678F"/>
    <w:rsid w:val="00FE6CC0"/>
    <w:rsid w:val="00FE74C2"/>
    <w:rsid w:val="00FE7717"/>
    <w:rsid w:val="00FE7F61"/>
    <w:rsid w:val="00FF02FC"/>
    <w:rsid w:val="00FF0ACE"/>
    <w:rsid w:val="00FF1192"/>
    <w:rsid w:val="00FF1E26"/>
    <w:rsid w:val="00FF2C9C"/>
    <w:rsid w:val="00FF4B4E"/>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7DB2ECD"/>
  <w15:docId w15:val="{BF6E671C-CC49-FA4E-9465-7D27AF21D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GB" w:eastAsia="en-GB" w:bidi="ar-SA"/>
      </w:rPr>
    </w:rPrDefault>
    <w:pPrDefault/>
  </w:docDefaults>
  <w:latentStyles w:defLockedState="0" w:defUIPriority="0" w:defSemiHidden="0" w:defUnhideWhenUsed="0" w:defQFormat="0" w:count="375">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C90D0E"/>
    <w:rPr>
      <w:lang w:val="fr-FR" w:eastAsia="fr-FR"/>
    </w:rPr>
  </w:style>
  <w:style w:type="paragraph" w:styleId="Heading1">
    <w:name w:val="heading 1"/>
    <w:basedOn w:val="Normal"/>
    <w:next w:val="Normal"/>
    <w:link w:val="Heading1Char"/>
    <w:rsid w:val="001F14FD"/>
    <w:pPr>
      <w:keepNext/>
      <w:numPr>
        <w:numId w:val="1"/>
      </w:numPr>
      <w:outlineLvl w:val="0"/>
    </w:pPr>
    <w:rPr>
      <w:b/>
      <w:u w:val="single"/>
      <w:lang w:val="en-GB"/>
    </w:rPr>
  </w:style>
  <w:style w:type="paragraph" w:styleId="Heading2">
    <w:name w:val="heading 2"/>
    <w:basedOn w:val="Normal"/>
    <w:next w:val="Normal"/>
    <w:link w:val="Heading2Char"/>
    <w:rsid w:val="00214D8E"/>
    <w:pPr>
      <w:keepNext/>
      <w:tabs>
        <w:tab w:val="num" w:pos="576"/>
      </w:tabs>
      <w:spacing w:before="240" w:after="60"/>
      <w:ind w:left="576" w:hanging="576"/>
      <w:outlineLvl w:val="1"/>
    </w:pPr>
    <w:rPr>
      <w:rFonts w:ascii="Arial" w:hAnsi="Arial" w:cs="Arial"/>
      <w:b/>
      <w:bCs/>
      <w:i/>
      <w:iCs/>
      <w:sz w:val="28"/>
      <w:szCs w:val="28"/>
    </w:rPr>
  </w:style>
  <w:style w:type="paragraph" w:styleId="Heading3">
    <w:name w:val="heading 3"/>
    <w:basedOn w:val="Normal"/>
    <w:next w:val="Normal"/>
    <w:link w:val="Heading3Char"/>
    <w:rsid w:val="00214D8E"/>
    <w:pPr>
      <w:keepNext/>
      <w:tabs>
        <w:tab w:val="num" w:pos="720"/>
      </w:tabs>
      <w:spacing w:before="240" w:after="60"/>
      <w:ind w:left="720" w:hanging="720"/>
      <w:outlineLvl w:val="2"/>
    </w:pPr>
    <w:rPr>
      <w:rFonts w:ascii="Arial" w:hAnsi="Arial" w:cs="Arial"/>
      <w:b/>
      <w:bCs/>
      <w:sz w:val="26"/>
      <w:szCs w:val="26"/>
    </w:rPr>
  </w:style>
  <w:style w:type="paragraph" w:styleId="Heading4">
    <w:name w:val="heading 4"/>
    <w:basedOn w:val="Normal"/>
    <w:next w:val="Normal"/>
    <w:link w:val="Heading4Char"/>
    <w:rsid w:val="00214D8E"/>
    <w:pPr>
      <w:keepNext/>
      <w:tabs>
        <w:tab w:val="num" w:pos="1764"/>
      </w:tabs>
      <w:spacing w:before="240" w:after="60"/>
      <w:ind w:left="1764" w:hanging="864"/>
      <w:outlineLvl w:val="3"/>
    </w:pPr>
    <w:rPr>
      <w:b/>
      <w:bCs/>
      <w:sz w:val="28"/>
      <w:szCs w:val="28"/>
    </w:rPr>
  </w:style>
  <w:style w:type="paragraph" w:styleId="Heading5">
    <w:name w:val="heading 5"/>
    <w:basedOn w:val="Normal"/>
    <w:next w:val="Normal"/>
    <w:rsid w:val="00214D8E"/>
    <w:pPr>
      <w:numPr>
        <w:ilvl w:val="4"/>
        <w:numId w:val="7"/>
      </w:numPr>
      <w:spacing w:before="240" w:after="60"/>
      <w:outlineLvl w:val="4"/>
    </w:pPr>
    <w:rPr>
      <w:b/>
      <w:bCs/>
      <w:i/>
      <w:iCs/>
      <w:sz w:val="26"/>
      <w:szCs w:val="26"/>
    </w:rPr>
  </w:style>
  <w:style w:type="paragraph" w:styleId="Heading6">
    <w:name w:val="heading 6"/>
    <w:basedOn w:val="Normal"/>
    <w:next w:val="Normal"/>
    <w:rsid w:val="00214D8E"/>
    <w:pPr>
      <w:numPr>
        <w:ilvl w:val="5"/>
        <w:numId w:val="7"/>
      </w:numPr>
      <w:spacing w:before="240" w:after="60"/>
      <w:outlineLvl w:val="5"/>
    </w:pPr>
    <w:rPr>
      <w:b/>
      <w:bCs/>
      <w:sz w:val="22"/>
      <w:szCs w:val="22"/>
    </w:rPr>
  </w:style>
  <w:style w:type="paragraph" w:styleId="Heading7">
    <w:name w:val="heading 7"/>
    <w:basedOn w:val="Normal"/>
    <w:next w:val="Normal"/>
    <w:rsid w:val="00214D8E"/>
    <w:pPr>
      <w:numPr>
        <w:ilvl w:val="6"/>
        <w:numId w:val="7"/>
      </w:numPr>
      <w:spacing w:before="240" w:after="60"/>
      <w:outlineLvl w:val="6"/>
    </w:pPr>
  </w:style>
  <w:style w:type="paragraph" w:styleId="Heading8">
    <w:name w:val="heading 8"/>
    <w:basedOn w:val="Normal"/>
    <w:next w:val="Normal"/>
    <w:rsid w:val="00214D8E"/>
    <w:pPr>
      <w:numPr>
        <w:ilvl w:val="7"/>
        <w:numId w:val="7"/>
      </w:numPr>
      <w:spacing w:before="240" w:after="60"/>
      <w:outlineLvl w:val="7"/>
    </w:pPr>
    <w:rPr>
      <w:i/>
      <w:iCs/>
    </w:rPr>
  </w:style>
  <w:style w:type="paragraph" w:styleId="Heading9">
    <w:name w:val="heading 9"/>
    <w:basedOn w:val="Normal"/>
    <w:next w:val="Normal"/>
    <w:rsid w:val="00214D8E"/>
    <w:pPr>
      <w:numPr>
        <w:ilvl w:val="8"/>
        <w:numId w:val="7"/>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F14FD"/>
    <w:pPr>
      <w:tabs>
        <w:tab w:val="center" w:pos="4536"/>
        <w:tab w:val="right" w:pos="9072"/>
      </w:tabs>
    </w:pPr>
  </w:style>
  <w:style w:type="character" w:styleId="PageNumber">
    <w:name w:val="page number"/>
    <w:basedOn w:val="DefaultParagraphFont"/>
    <w:uiPriority w:val="99"/>
    <w:rsid w:val="001F14FD"/>
  </w:style>
  <w:style w:type="paragraph" w:styleId="BodyText">
    <w:name w:val="Body Text"/>
    <w:aliases w:val="Body Text A,alt+L,alt+B ja alt+L,.                 alt+L,Double indent Car Car Car,Double indent"/>
    <w:basedOn w:val="Normal"/>
    <w:link w:val="BodyTextChar"/>
    <w:rsid w:val="001F14FD"/>
    <w:rPr>
      <w:szCs w:val="20"/>
      <w:lang w:val="en-US"/>
    </w:rPr>
  </w:style>
  <w:style w:type="character" w:styleId="Hyperlink">
    <w:name w:val="Hyperlink"/>
    <w:uiPriority w:val="99"/>
    <w:rsid w:val="001F14FD"/>
    <w:rPr>
      <w:color w:val="0000FF"/>
      <w:u w:val="single"/>
    </w:rPr>
  </w:style>
  <w:style w:type="paragraph" w:styleId="BlockText">
    <w:name w:val="Block Text"/>
    <w:basedOn w:val="Normal"/>
    <w:rsid w:val="001F14FD"/>
    <w:pPr>
      <w:tabs>
        <w:tab w:val="left" w:pos="0"/>
      </w:tabs>
      <w:suppressAutoHyphens/>
      <w:ind w:left="340" w:right="340"/>
      <w:jc w:val="both"/>
    </w:pPr>
    <w:rPr>
      <w:szCs w:val="20"/>
      <w:lang w:val="es-ES_tradnl" w:eastAsia="en-US"/>
    </w:rPr>
  </w:style>
  <w:style w:type="paragraph" w:styleId="TOC1">
    <w:name w:val="toc 1"/>
    <w:basedOn w:val="Normal"/>
    <w:next w:val="Normal"/>
    <w:autoRedefine/>
    <w:uiPriority w:val="39"/>
    <w:rsid w:val="003F347F"/>
    <w:pPr>
      <w:tabs>
        <w:tab w:val="left" w:pos="480"/>
        <w:tab w:val="right" w:leader="dot" w:pos="9060"/>
      </w:tabs>
      <w:ind w:left="426" w:hanging="426"/>
    </w:pPr>
    <w:rPr>
      <w:rFonts w:ascii="Century Gothic" w:hAnsi="Century Gothic"/>
      <w:b/>
      <w:bCs/>
      <w:caps/>
      <w:noProof/>
      <w:sz w:val="22"/>
      <w:szCs w:val="22"/>
    </w:rPr>
  </w:style>
  <w:style w:type="paragraph" w:styleId="TOC2">
    <w:name w:val="toc 2"/>
    <w:basedOn w:val="Normal"/>
    <w:next w:val="Normal"/>
    <w:autoRedefine/>
    <w:uiPriority w:val="39"/>
    <w:rsid w:val="003F42A4"/>
    <w:pPr>
      <w:tabs>
        <w:tab w:val="right" w:leader="dot" w:pos="9062"/>
      </w:tabs>
      <w:ind w:left="1134" w:hanging="708"/>
    </w:pPr>
    <w:rPr>
      <w:rFonts w:ascii="Century Gothic" w:hAnsi="Century Gothic"/>
      <w:noProof/>
      <w:sz w:val="22"/>
      <w:szCs w:val="22"/>
      <w:lang w:val="en-GB"/>
    </w:rPr>
  </w:style>
  <w:style w:type="paragraph" w:styleId="NormalWeb">
    <w:name w:val="Normal (Web)"/>
    <w:basedOn w:val="Normal"/>
    <w:uiPriority w:val="99"/>
    <w:rsid w:val="001F14FD"/>
    <w:pPr>
      <w:spacing w:before="100" w:beforeAutospacing="1" w:after="100" w:afterAutospacing="1"/>
    </w:pPr>
    <w:rPr>
      <w:rFonts w:ascii="Arial" w:hAnsi="Arial" w:cs="Arial"/>
      <w:color w:val="000066"/>
      <w:sz w:val="20"/>
      <w:szCs w:val="20"/>
    </w:rPr>
  </w:style>
  <w:style w:type="paragraph" w:styleId="Header">
    <w:name w:val="header"/>
    <w:basedOn w:val="Normal"/>
    <w:link w:val="HeaderChar"/>
    <w:uiPriority w:val="99"/>
    <w:rsid w:val="001F14FD"/>
    <w:pPr>
      <w:tabs>
        <w:tab w:val="center" w:pos="4153"/>
        <w:tab w:val="right" w:pos="8306"/>
      </w:tabs>
    </w:pPr>
  </w:style>
  <w:style w:type="paragraph" w:styleId="TOC3">
    <w:name w:val="toc 3"/>
    <w:basedOn w:val="Normal"/>
    <w:next w:val="Normal"/>
    <w:autoRedefine/>
    <w:uiPriority w:val="39"/>
    <w:rsid w:val="000C507F"/>
    <w:pPr>
      <w:tabs>
        <w:tab w:val="left" w:pos="1985"/>
        <w:tab w:val="right" w:leader="dot" w:pos="9060"/>
      </w:tabs>
      <w:ind w:left="1134"/>
    </w:pPr>
    <w:rPr>
      <w:rFonts w:ascii="Century Gothic" w:hAnsi="Century Gothic"/>
      <w:sz w:val="22"/>
    </w:rPr>
  </w:style>
  <w:style w:type="table" w:styleId="TableGrid">
    <w:name w:val="Table Grid"/>
    <w:basedOn w:val="TableNormal"/>
    <w:uiPriority w:val="39"/>
    <w:rsid w:val="004305D4"/>
    <w:rPr>
      <w:sz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3">
    <w:name w:val="Body Text 3"/>
    <w:basedOn w:val="Normal"/>
    <w:rsid w:val="003354D3"/>
    <w:pPr>
      <w:spacing w:after="120"/>
    </w:pPr>
    <w:rPr>
      <w:sz w:val="16"/>
      <w:szCs w:val="16"/>
    </w:rPr>
  </w:style>
  <w:style w:type="character" w:styleId="CommentReference">
    <w:name w:val="annotation reference"/>
    <w:uiPriority w:val="99"/>
    <w:semiHidden/>
    <w:rsid w:val="00AD1D11"/>
    <w:rPr>
      <w:sz w:val="16"/>
      <w:szCs w:val="16"/>
    </w:rPr>
  </w:style>
  <w:style w:type="paragraph" w:styleId="CommentText">
    <w:name w:val="annotation text"/>
    <w:basedOn w:val="Normal"/>
    <w:link w:val="CommentTextChar"/>
    <w:uiPriority w:val="99"/>
    <w:rsid w:val="00AD1D11"/>
    <w:rPr>
      <w:sz w:val="20"/>
      <w:szCs w:val="20"/>
    </w:rPr>
  </w:style>
  <w:style w:type="paragraph" w:styleId="CommentSubject">
    <w:name w:val="annotation subject"/>
    <w:basedOn w:val="CommentText"/>
    <w:next w:val="CommentText"/>
    <w:semiHidden/>
    <w:rsid w:val="00AD1D11"/>
    <w:rPr>
      <w:b/>
      <w:bCs/>
    </w:rPr>
  </w:style>
  <w:style w:type="paragraph" w:styleId="BalloonText">
    <w:name w:val="Balloon Text"/>
    <w:basedOn w:val="Normal"/>
    <w:semiHidden/>
    <w:rsid w:val="00AD1D11"/>
    <w:rPr>
      <w:rFonts w:ascii="Tahoma" w:hAnsi="Tahoma" w:cs="Tahoma"/>
      <w:sz w:val="16"/>
      <w:szCs w:val="16"/>
    </w:rPr>
  </w:style>
  <w:style w:type="character" w:styleId="Strong">
    <w:name w:val="Strong"/>
    <w:rsid w:val="00C22B2E"/>
    <w:rPr>
      <w:b/>
      <w:bCs/>
    </w:rPr>
  </w:style>
  <w:style w:type="character" w:styleId="FootnoteReference">
    <w:name w:val="footnote reference"/>
    <w:aliases w:val="Footnote Refernece,BVI fnr,callout,16 Point,Superscript 6 Point,Odwołanie przypisu,Footnote symbol,Footnote Reference Number,Footnote Reference Superscript,SUPERS,Times 10 Point,Exposant 3 Point,Ref,de nota al pie,number, BVI fnr,FR,F"/>
    <w:uiPriority w:val="99"/>
    <w:qFormat/>
    <w:rsid w:val="000B0F0A"/>
    <w:rPr>
      <w:vertAlign w:val="superscript"/>
    </w:rPr>
  </w:style>
  <w:style w:type="paragraph" w:styleId="ListParagraph">
    <w:name w:val="List Paragraph"/>
    <w:aliases w:val="Heading 2_sj,List Paragraph1"/>
    <w:basedOn w:val="Normal"/>
    <w:uiPriority w:val="34"/>
    <w:qFormat/>
    <w:rsid w:val="000B0F0A"/>
    <w:pPr>
      <w:ind w:left="720"/>
      <w:contextualSpacing/>
      <w:jc w:val="both"/>
    </w:pPr>
    <w:rPr>
      <w:sz w:val="22"/>
      <w:szCs w:val="20"/>
      <w:lang w:val="en-GB"/>
    </w:rPr>
  </w:style>
  <w:style w:type="paragraph" w:styleId="FootnoteText">
    <w:name w:val="footnote text"/>
    <w:aliases w:val="M Footnotes"/>
    <w:basedOn w:val="Normal"/>
    <w:link w:val="FootnoteTextChar"/>
    <w:uiPriority w:val="99"/>
    <w:qFormat/>
    <w:rsid w:val="003520D5"/>
    <w:pPr>
      <w:jc w:val="both"/>
    </w:pPr>
    <w:rPr>
      <w:sz w:val="18"/>
      <w:szCs w:val="22"/>
      <w:lang w:val="en-GB"/>
    </w:rPr>
  </w:style>
  <w:style w:type="character" w:customStyle="1" w:styleId="FootnoteTextChar">
    <w:name w:val="Footnote Text Char"/>
    <w:aliases w:val="M Footnotes Char"/>
    <w:link w:val="FootnoteText"/>
    <w:uiPriority w:val="99"/>
    <w:rsid w:val="003520D5"/>
    <w:rPr>
      <w:sz w:val="18"/>
      <w:szCs w:val="22"/>
      <w:lang w:eastAsia="fr-FR"/>
    </w:rPr>
  </w:style>
  <w:style w:type="character" w:styleId="Emphasis">
    <w:name w:val="Emphasis"/>
    <w:uiPriority w:val="20"/>
    <w:rsid w:val="005703D4"/>
    <w:rPr>
      <w:i/>
    </w:rPr>
  </w:style>
  <w:style w:type="paragraph" w:customStyle="1" w:styleId="Default">
    <w:name w:val="Default"/>
    <w:rsid w:val="005703D4"/>
    <w:pPr>
      <w:autoSpaceDE w:val="0"/>
      <w:autoSpaceDN w:val="0"/>
      <w:adjustRightInd w:val="0"/>
    </w:pPr>
    <w:rPr>
      <w:rFonts w:ascii="EUAlbertina" w:eastAsia="Calibri" w:hAnsi="EUAlbertina" w:cs="EUAlbertina"/>
      <w:color w:val="000000"/>
      <w:lang w:val="fr-BE" w:eastAsia="en-US"/>
    </w:rPr>
  </w:style>
  <w:style w:type="paragraph" w:customStyle="1" w:styleId="MBT">
    <w:name w:val="M BT"/>
    <w:basedOn w:val="Normal"/>
    <w:link w:val="MBTChar"/>
    <w:qFormat/>
    <w:rsid w:val="003520D5"/>
    <w:pPr>
      <w:widowControl w:val="0"/>
      <w:jc w:val="both"/>
    </w:pPr>
    <w:rPr>
      <w:bCs/>
      <w:sz w:val="22"/>
      <w:szCs w:val="22"/>
      <w:lang w:val="en-US"/>
    </w:rPr>
  </w:style>
  <w:style w:type="paragraph" w:customStyle="1" w:styleId="MH1">
    <w:name w:val="M H 1"/>
    <w:basedOn w:val="Heading1"/>
    <w:next w:val="MBT"/>
    <w:link w:val="MH1Char"/>
    <w:qFormat/>
    <w:rsid w:val="00214D8E"/>
    <w:pPr>
      <w:pageBreakBefore/>
      <w:numPr>
        <w:numId w:val="7"/>
      </w:numPr>
      <w:spacing w:after="480"/>
      <w:jc w:val="both"/>
    </w:pPr>
    <w:rPr>
      <w:rFonts w:ascii="Century Gothic" w:hAnsi="Century Gothic"/>
      <w:caps/>
      <w:u w:val="none"/>
    </w:rPr>
  </w:style>
  <w:style w:type="character" w:customStyle="1" w:styleId="MBTChar">
    <w:name w:val="M BT Char"/>
    <w:link w:val="MBT"/>
    <w:rsid w:val="003520D5"/>
    <w:rPr>
      <w:bCs/>
      <w:sz w:val="22"/>
      <w:szCs w:val="22"/>
      <w:lang w:val="en-US" w:eastAsia="fr-FR"/>
    </w:rPr>
  </w:style>
  <w:style w:type="paragraph" w:customStyle="1" w:styleId="MH1nonumb">
    <w:name w:val="M H 1 no numb"/>
    <w:basedOn w:val="MH1"/>
    <w:next w:val="MBT"/>
    <w:link w:val="MH1nonumbChar"/>
    <w:qFormat/>
    <w:rsid w:val="003520D5"/>
    <w:pPr>
      <w:numPr>
        <w:numId w:val="0"/>
      </w:numPr>
    </w:pPr>
  </w:style>
  <w:style w:type="character" w:customStyle="1" w:styleId="Heading1Char">
    <w:name w:val="Heading 1 Char"/>
    <w:link w:val="Heading1"/>
    <w:rsid w:val="001B161E"/>
    <w:rPr>
      <w:b/>
      <w:sz w:val="24"/>
      <w:szCs w:val="24"/>
      <w:u w:val="single"/>
      <w:lang w:eastAsia="fr-FR"/>
    </w:rPr>
  </w:style>
  <w:style w:type="character" w:customStyle="1" w:styleId="MH1Char">
    <w:name w:val="M H 1 Char"/>
    <w:link w:val="MH1"/>
    <w:rsid w:val="003520D5"/>
    <w:rPr>
      <w:rFonts w:ascii="Century Gothic" w:hAnsi="Century Gothic"/>
      <w:b/>
      <w:caps/>
      <w:sz w:val="24"/>
      <w:szCs w:val="24"/>
      <w:lang w:eastAsia="fr-FR"/>
    </w:rPr>
  </w:style>
  <w:style w:type="paragraph" w:customStyle="1" w:styleId="MH2">
    <w:name w:val="M H 2"/>
    <w:basedOn w:val="Heading2"/>
    <w:next w:val="MBT"/>
    <w:link w:val="MH2Char"/>
    <w:qFormat/>
    <w:rsid w:val="0007122D"/>
    <w:pPr>
      <w:numPr>
        <w:ilvl w:val="1"/>
        <w:numId w:val="3"/>
      </w:numPr>
      <w:spacing w:before="0" w:after="240"/>
      <w:ind w:left="578" w:hanging="578"/>
      <w:jc w:val="both"/>
    </w:pPr>
    <w:rPr>
      <w:rFonts w:ascii="Century Gothic" w:hAnsi="Century Gothic"/>
      <w:i w:val="0"/>
      <w:caps/>
      <w:sz w:val="22"/>
      <w:lang w:val="en-GB"/>
    </w:rPr>
  </w:style>
  <w:style w:type="character" w:customStyle="1" w:styleId="MH1nonumbChar">
    <w:name w:val="M H 1 no numb Char"/>
    <w:link w:val="MH1nonumb"/>
    <w:rsid w:val="003520D5"/>
    <w:rPr>
      <w:rFonts w:ascii="Century Gothic" w:hAnsi="Century Gothic"/>
      <w:b/>
      <w:caps/>
      <w:sz w:val="24"/>
      <w:szCs w:val="24"/>
      <w:lang w:eastAsia="fr-FR"/>
    </w:rPr>
  </w:style>
  <w:style w:type="paragraph" w:customStyle="1" w:styleId="MH3">
    <w:name w:val="M H 3"/>
    <w:basedOn w:val="Heading3"/>
    <w:next w:val="MBT"/>
    <w:link w:val="MH3Char"/>
    <w:qFormat/>
    <w:rsid w:val="0007122D"/>
    <w:pPr>
      <w:numPr>
        <w:ilvl w:val="2"/>
        <w:numId w:val="3"/>
      </w:numPr>
      <w:spacing w:before="0" w:after="240"/>
      <w:jc w:val="both"/>
    </w:pPr>
    <w:rPr>
      <w:rFonts w:ascii="Century Gothic" w:hAnsi="Century Gothic"/>
      <w:sz w:val="22"/>
      <w:szCs w:val="22"/>
      <w:lang w:val="en-GB"/>
    </w:rPr>
  </w:style>
  <w:style w:type="character" w:customStyle="1" w:styleId="Heading2Char">
    <w:name w:val="Heading 2 Char"/>
    <w:link w:val="Heading2"/>
    <w:rsid w:val="00E71143"/>
    <w:rPr>
      <w:rFonts w:ascii="Arial" w:hAnsi="Arial" w:cs="Arial"/>
      <w:b/>
      <w:bCs/>
      <w:i/>
      <w:iCs/>
      <w:sz w:val="28"/>
      <w:szCs w:val="28"/>
      <w:lang w:val="fr-FR" w:eastAsia="fr-FR"/>
    </w:rPr>
  </w:style>
  <w:style w:type="character" w:customStyle="1" w:styleId="MH2Char">
    <w:name w:val="M H 2 Char"/>
    <w:link w:val="MH2"/>
    <w:rsid w:val="0007122D"/>
    <w:rPr>
      <w:rFonts w:ascii="Century Gothic" w:hAnsi="Century Gothic" w:cs="Arial"/>
      <w:b/>
      <w:bCs/>
      <w:iCs/>
      <w:caps/>
      <w:sz w:val="22"/>
      <w:szCs w:val="28"/>
      <w:lang w:eastAsia="fr-FR"/>
    </w:rPr>
  </w:style>
  <w:style w:type="paragraph" w:customStyle="1" w:styleId="MH4">
    <w:name w:val="M H 4"/>
    <w:basedOn w:val="Heading4"/>
    <w:next w:val="MBT"/>
    <w:link w:val="MH4Char"/>
    <w:qFormat/>
    <w:rsid w:val="0007122D"/>
    <w:pPr>
      <w:numPr>
        <w:ilvl w:val="3"/>
        <w:numId w:val="3"/>
      </w:numPr>
      <w:tabs>
        <w:tab w:val="clear" w:pos="1764"/>
        <w:tab w:val="num" w:pos="851"/>
      </w:tabs>
      <w:spacing w:before="0" w:after="240"/>
      <w:ind w:left="868" w:hanging="868"/>
      <w:jc w:val="both"/>
    </w:pPr>
    <w:rPr>
      <w:rFonts w:ascii="Century Gothic" w:hAnsi="Century Gothic"/>
      <w:b w:val="0"/>
      <w:sz w:val="22"/>
      <w:szCs w:val="22"/>
      <w:lang w:val="en-GB"/>
    </w:rPr>
  </w:style>
  <w:style w:type="character" w:customStyle="1" w:styleId="Heading3Char">
    <w:name w:val="Heading 3 Char"/>
    <w:link w:val="Heading3"/>
    <w:rsid w:val="00037885"/>
    <w:rPr>
      <w:rFonts w:ascii="Arial" w:hAnsi="Arial" w:cs="Arial"/>
      <w:b/>
      <w:bCs/>
      <w:sz w:val="26"/>
      <w:szCs w:val="26"/>
      <w:lang w:val="fr-FR" w:eastAsia="fr-FR"/>
    </w:rPr>
  </w:style>
  <w:style w:type="character" w:customStyle="1" w:styleId="MH3Char">
    <w:name w:val="M H 3 Char"/>
    <w:link w:val="MH3"/>
    <w:rsid w:val="0007122D"/>
    <w:rPr>
      <w:rFonts w:ascii="Century Gothic" w:hAnsi="Century Gothic" w:cs="Arial"/>
      <w:b/>
      <w:bCs/>
      <w:sz w:val="22"/>
      <w:szCs w:val="22"/>
      <w:lang w:eastAsia="fr-FR"/>
    </w:rPr>
  </w:style>
  <w:style w:type="paragraph" w:customStyle="1" w:styleId="MMultilevel">
    <w:name w:val="M Multilevel"/>
    <w:basedOn w:val="Normal"/>
    <w:link w:val="MMultilevelChar"/>
    <w:qFormat/>
    <w:rsid w:val="003520D5"/>
    <w:pPr>
      <w:widowControl w:val="0"/>
      <w:numPr>
        <w:numId w:val="5"/>
      </w:numPr>
      <w:jc w:val="both"/>
    </w:pPr>
    <w:rPr>
      <w:bCs/>
      <w:sz w:val="22"/>
      <w:szCs w:val="22"/>
      <w:lang w:val="en-US"/>
    </w:rPr>
  </w:style>
  <w:style w:type="character" w:customStyle="1" w:styleId="Heading4Char">
    <w:name w:val="Heading 4 Char"/>
    <w:link w:val="Heading4"/>
    <w:rsid w:val="006B477D"/>
    <w:rPr>
      <w:b/>
      <w:bCs/>
      <w:sz w:val="28"/>
      <w:szCs w:val="28"/>
      <w:lang w:val="fr-FR" w:eastAsia="fr-FR"/>
    </w:rPr>
  </w:style>
  <w:style w:type="character" w:customStyle="1" w:styleId="MH4Char">
    <w:name w:val="M H 4 Char"/>
    <w:link w:val="MH4"/>
    <w:rsid w:val="0007122D"/>
    <w:rPr>
      <w:rFonts w:ascii="Century Gothic" w:hAnsi="Century Gothic"/>
      <w:bCs/>
      <w:sz w:val="22"/>
      <w:szCs w:val="22"/>
      <w:lang w:eastAsia="fr-FR"/>
    </w:rPr>
  </w:style>
  <w:style w:type="paragraph" w:customStyle="1" w:styleId="6B1BA9E48E214D47B5AB4BF5789D4B8B">
    <w:name w:val="6B1BA9E48E214D47B5AB4BF5789D4B8B"/>
    <w:rsid w:val="00BF08BC"/>
    <w:pPr>
      <w:spacing w:after="200" w:line="276" w:lineRule="auto"/>
    </w:pPr>
    <w:rPr>
      <w:rFonts w:ascii="Calibri" w:hAnsi="Calibri"/>
      <w:sz w:val="22"/>
      <w:szCs w:val="22"/>
    </w:rPr>
  </w:style>
  <w:style w:type="character" w:customStyle="1" w:styleId="MMultilevelChar">
    <w:name w:val="M Multilevel Char"/>
    <w:link w:val="MMultilevel"/>
    <w:rsid w:val="003520D5"/>
    <w:rPr>
      <w:bCs/>
      <w:sz w:val="22"/>
      <w:szCs w:val="22"/>
      <w:lang w:val="en-US" w:eastAsia="fr-FR"/>
    </w:rPr>
  </w:style>
  <w:style w:type="numbering" w:customStyle="1" w:styleId="MilieuList">
    <w:name w:val="Milieu List"/>
    <w:uiPriority w:val="99"/>
    <w:rsid w:val="00C25C82"/>
    <w:pPr>
      <w:numPr>
        <w:numId w:val="4"/>
      </w:numPr>
    </w:pPr>
  </w:style>
  <w:style w:type="paragraph" w:styleId="Quote">
    <w:name w:val="Quote"/>
    <w:basedOn w:val="Normal"/>
    <w:next w:val="Normal"/>
    <w:link w:val="QuoteChar"/>
    <w:uiPriority w:val="29"/>
    <w:rsid w:val="000522FA"/>
    <w:pPr>
      <w:spacing w:after="200" w:line="276" w:lineRule="auto"/>
    </w:pPr>
    <w:rPr>
      <w:rFonts w:asciiTheme="minorHAnsi" w:eastAsiaTheme="minorEastAsia" w:hAnsiTheme="minorHAnsi" w:cstheme="minorBidi"/>
      <w:i/>
      <w:iCs/>
      <w:color w:val="000000" w:themeColor="text1"/>
      <w:sz w:val="22"/>
      <w:szCs w:val="22"/>
      <w:lang w:val="en-US" w:eastAsia="ja-JP"/>
    </w:rPr>
  </w:style>
  <w:style w:type="character" w:customStyle="1" w:styleId="QuoteChar">
    <w:name w:val="Quote Char"/>
    <w:basedOn w:val="DefaultParagraphFont"/>
    <w:link w:val="Quote"/>
    <w:uiPriority w:val="29"/>
    <w:rsid w:val="000522FA"/>
    <w:rPr>
      <w:rFonts w:asciiTheme="minorHAnsi" w:eastAsiaTheme="minorEastAsia" w:hAnsiTheme="minorHAnsi" w:cstheme="minorBidi"/>
      <w:i/>
      <w:iCs/>
      <w:color w:val="000000" w:themeColor="text1"/>
      <w:sz w:val="22"/>
      <w:szCs w:val="22"/>
      <w:lang w:val="en-US" w:eastAsia="ja-JP"/>
    </w:rPr>
  </w:style>
  <w:style w:type="paragraph" w:styleId="NoSpacing">
    <w:name w:val="No Spacing"/>
    <w:basedOn w:val="Normal"/>
    <w:uiPriority w:val="99"/>
    <w:rsid w:val="00AE599B"/>
    <w:rPr>
      <w:rFonts w:asciiTheme="minorHAnsi" w:eastAsiaTheme="minorHAnsi" w:hAnsiTheme="minorHAnsi"/>
      <w:color w:val="000000" w:themeColor="text1"/>
      <w:sz w:val="20"/>
      <w:szCs w:val="20"/>
      <w:lang w:val="en-US" w:eastAsia="ja-JP"/>
    </w:rPr>
  </w:style>
  <w:style w:type="paragraph" w:customStyle="1" w:styleId="8A1B7484A002489D88FC21011515A39A">
    <w:name w:val="8A1B7484A002489D88FC21011515A39A"/>
    <w:rsid w:val="00AE599B"/>
    <w:pPr>
      <w:spacing w:after="200" w:line="276" w:lineRule="auto"/>
    </w:pPr>
    <w:rPr>
      <w:rFonts w:asciiTheme="minorHAnsi" w:eastAsiaTheme="minorEastAsia" w:hAnsiTheme="minorHAnsi" w:cstheme="minorBidi"/>
      <w:sz w:val="22"/>
      <w:szCs w:val="22"/>
      <w:lang w:val="en-US" w:eastAsia="en-US"/>
    </w:rPr>
  </w:style>
  <w:style w:type="paragraph" w:customStyle="1" w:styleId="MMultilevelList">
    <w:name w:val="M Multilevel List"/>
    <w:basedOn w:val="MMultilevel"/>
    <w:link w:val="MMultilevelListChar"/>
    <w:rsid w:val="003139D6"/>
    <w:pPr>
      <w:numPr>
        <w:numId w:val="2"/>
      </w:numPr>
    </w:pPr>
  </w:style>
  <w:style w:type="character" w:customStyle="1" w:styleId="MMultilevelListChar">
    <w:name w:val="M Multilevel List Char"/>
    <w:basedOn w:val="MMultilevelChar"/>
    <w:link w:val="MMultilevelList"/>
    <w:rsid w:val="003139D6"/>
    <w:rPr>
      <w:bCs/>
      <w:sz w:val="22"/>
      <w:szCs w:val="22"/>
      <w:lang w:val="en-US" w:eastAsia="fr-FR"/>
    </w:rPr>
  </w:style>
  <w:style w:type="paragraph" w:styleId="Caption">
    <w:name w:val="caption"/>
    <w:aliases w:val="M Caption"/>
    <w:basedOn w:val="Normal"/>
    <w:next w:val="Normal"/>
    <w:unhideWhenUsed/>
    <w:qFormat/>
    <w:rsid w:val="003520D5"/>
    <w:pPr>
      <w:spacing w:after="200"/>
    </w:pPr>
    <w:rPr>
      <w:b/>
      <w:bCs/>
      <w:color w:val="000000" w:themeColor="text1"/>
      <w:sz w:val="18"/>
      <w:szCs w:val="18"/>
    </w:rPr>
  </w:style>
  <w:style w:type="table" w:customStyle="1" w:styleId="MTableStyle">
    <w:name w:val="M Table Style"/>
    <w:basedOn w:val="TableGrid1"/>
    <w:uiPriority w:val="99"/>
    <w:rsid w:val="00AB0DA2"/>
    <w:pPr>
      <w:spacing w:before="50" w:after="50"/>
    </w:pPr>
    <w:rPr>
      <w:rFonts w:ascii="Century Gothic" w:hAnsi="Century Gothic"/>
      <w:color w:val="000000" w:themeColor="text1"/>
      <w:sz w:val="18"/>
      <w:szCs w:val="20"/>
      <w:lang w:val="fr-BE" w:eastAsia="fr-BE"/>
    </w:rPr>
    <w:tblPr>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blBorders>
    </w:tblPr>
    <w:tcPr>
      <w:shd w:val="clear" w:color="auto" w:fill="DBDBDB" w:themeFill="background2" w:themeFillTint="66"/>
    </w:tcPr>
    <w:tblStylePr w:type="firstRow">
      <w:pPr>
        <w:keepNext w:val="0"/>
        <w:keepLines w:val="0"/>
        <w:pageBreakBefore w:val="0"/>
        <w:widowControl w:val="0"/>
        <w:suppressLineNumbers w:val="0"/>
        <w:suppressAutoHyphens w:val="0"/>
        <w:wordWrap/>
        <w:spacing w:beforeLines="0" w:before="50" w:beforeAutospacing="0" w:afterLines="0" w:after="50" w:afterAutospacing="0" w:line="240" w:lineRule="auto"/>
        <w:contextualSpacing w:val="0"/>
        <w:jc w:val="center"/>
      </w:pPr>
      <w:rPr>
        <w:rFonts w:ascii="EUAlbertina" w:hAnsi="EUAlbertina"/>
        <w:b/>
        <w:i w:val="0"/>
        <w:caps w:val="0"/>
        <w:smallCaps w:val="0"/>
        <w:strike w:val="0"/>
        <w:dstrike w:val="0"/>
        <w:vanish w:val="0"/>
        <w:color w:val="000000" w:themeColor="text1"/>
        <w:sz w:val="18"/>
        <w:vertAlign w:val="baseline"/>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7AB800" w:themeFill="text2"/>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TableText">
    <w:name w:val="M Table Text"/>
    <w:basedOn w:val="MBT"/>
    <w:qFormat/>
    <w:rsid w:val="003520D5"/>
    <w:rPr>
      <w:rFonts w:ascii="Century Gothic" w:hAnsi="Century Gothic"/>
      <w:color w:val="000000" w:themeColor="text1"/>
      <w:sz w:val="18"/>
      <w:szCs w:val="18"/>
    </w:rPr>
  </w:style>
  <w:style w:type="table" w:styleId="Table3Deffects2">
    <w:name w:val="Table 3D effects 2"/>
    <w:basedOn w:val="TableNormal"/>
    <w:rsid w:val="008209B8"/>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Grid1">
    <w:name w:val="Table Grid 1"/>
    <w:basedOn w:val="TableNormal"/>
    <w:rsid w:val="0046465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Multileveltable">
    <w:name w:val="M Multilevel table"/>
    <w:basedOn w:val="MMultilevel"/>
    <w:qFormat/>
    <w:rsid w:val="003520D5"/>
    <w:pPr>
      <w:numPr>
        <w:numId w:val="6"/>
      </w:numPr>
    </w:pPr>
    <w:rPr>
      <w:rFonts w:ascii="Century Gothic" w:hAnsi="Century Gothic"/>
      <w:sz w:val="18"/>
      <w:szCs w:val="18"/>
    </w:rPr>
  </w:style>
  <w:style w:type="paragraph" w:styleId="TOCHeading">
    <w:name w:val="TOC Heading"/>
    <w:basedOn w:val="Heading1"/>
    <w:next w:val="Normal"/>
    <w:uiPriority w:val="39"/>
    <w:unhideWhenUsed/>
    <w:qFormat/>
    <w:rsid w:val="00F90C45"/>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u w:val="none"/>
      <w:lang w:val="en-US" w:eastAsia="ja-JP"/>
    </w:rPr>
  </w:style>
  <w:style w:type="character" w:customStyle="1" w:styleId="hps">
    <w:name w:val="hps"/>
    <w:rsid w:val="00670588"/>
  </w:style>
  <w:style w:type="character" w:customStyle="1" w:styleId="BodyTextChar">
    <w:name w:val="Body Text Char"/>
    <w:aliases w:val="Body Text A Char,alt+L Char,alt+B ja alt+L Char,.                 alt+L Char,Double indent Car Car Car Char,Double indent Char"/>
    <w:link w:val="BodyText"/>
    <w:rsid w:val="00C82496"/>
    <w:rPr>
      <w:sz w:val="24"/>
      <w:lang w:val="en-US" w:eastAsia="fr-FR"/>
    </w:rPr>
  </w:style>
  <w:style w:type="character" w:customStyle="1" w:styleId="CommentTextChar">
    <w:name w:val="Comment Text Char"/>
    <w:link w:val="CommentText"/>
    <w:uiPriority w:val="99"/>
    <w:rsid w:val="00DF338A"/>
    <w:rPr>
      <w:lang w:val="fr-FR" w:eastAsia="fr-FR"/>
    </w:rPr>
  </w:style>
  <w:style w:type="character" w:customStyle="1" w:styleId="HeaderChar">
    <w:name w:val="Header Char"/>
    <w:basedOn w:val="DefaultParagraphFont"/>
    <w:link w:val="Header"/>
    <w:uiPriority w:val="99"/>
    <w:rsid w:val="00E81A6C"/>
    <w:rPr>
      <w:sz w:val="24"/>
      <w:szCs w:val="24"/>
      <w:lang w:val="fr-FR" w:eastAsia="fr-FR"/>
    </w:rPr>
  </w:style>
  <w:style w:type="character" w:customStyle="1" w:styleId="FooterChar">
    <w:name w:val="Footer Char"/>
    <w:basedOn w:val="DefaultParagraphFont"/>
    <w:link w:val="Footer"/>
    <w:uiPriority w:val="99"/>
    <w:rsid w:val="00AC2EEB"/>
    <w:rPr>
      <w:sz w:val="24"/>
      <w:szCs w:val="24"/>
      <w:lang w:val="fr-FR" w:eastAsia="fr-FR"/>
    </w:rPr>
  </w:style>
  <w:style w:type="numbering" w:customStyle="1" w:styleId="Style1">
    <w:name w:val="Style1"/>
    <w:uiPriority w:val="99"/>
    <w:rsid w:val="00AC2EEB"/>
    <w:pPr>
      <w:numPr>
        <w:numId w:val="8"/>
      </w:numPr>
    </w:pPr>
  </w:style>
  <w:style w:type="character" w:styleId="FollowedHyperlink">
    <w:name w:val="FollowedHyperlink"/>
    <w:basedOn w:val="DefaultParagraphFont"/>
    <w:semiHidden/>
    <w:unhideWhenUsed/>
    <w:rsid w:val="008A4EB1"/>
    <w:rPr>
      <w:color w:val="800080" w:themeColor="followedHyperlink"/>
      <w:u w:val="single"/>
    </w:rPr>
  </w:style>
  <w:style w:type="character" w:customStyle="1" w:styleId="UnresolvedMention1">
    <w:name w:val="Unresolved Mention1"/>
    <w:basedOn w:val="DefaultParagraphFont"/>
    <w:uiPriority w:val="99"/>
    <w:semiHidden/>
    <w:unhideWhenUsed/>
    <w:rsid w:val="00E51F04"/>
    <w:rPr>
      <w:color w:val="808080"/>
      <w:shd w:val="clear" w:color="auto" w:fill="E6E6E6"/>
    </w:rPr>
  </w:style>
  <w:style w:type="paragraph" w:styleId="Revision">
    <w:name w:val="Revision"/>
    <w:hidden/>
    <w:uiPriority w:val="99"/>
    <w:semiHidden/>
    <w:rsid w:val="00973B7E"/>
    <w:rPr>
      <w:lang w:val="fr-FR" w:eastAsia="fr-FR"/>
    </w:rPr>
  </w:style>
  <w:style w:type="character" w:customStyle="1" w:styleId="UnresolvedMention2">
    <w:name w:val="Unresolved Mention2"/>
    <w:basedOn w:val="DefaultParagraphFont"/>
    <w:uiPriority w:val="99"/>
    <w:semiHidden/>
    <w:unhideWhenUsed/>
    <w:rsid w:val="005C6214"/>
    <w:rPr>
      <w:color w:val="808080"/>
      <w:shd w:val="clear" w:color="auto" w:fill="E6E6E6"/>
    </w:rPr>
  </w:style>
  <w:style w:type="character" w:styleId="UnresolvedMention">
    <w:name w:val="Unresolved Mention"/>
    <w:basedOn w:val="DefaultParagraphFont"/>
    <w:uiPriority w:val="99"/>
    <w:semiHidden/>
    <w:unhideWhenUsed/>
    <w:rsid w:val="00001B8D"/>
    <w:rPr>
      <w:color w:val="808080"/>
      <w:shd w:val="clear" w:color="auto" w:fill="E6E6E6"/>
    </w:rPr>
  </w:style>
  <w:style w:type="paragraph" w:customStyle="1" w:styleId="xmsonormal">
    <w:name w:val="x_msonormal"/>
    <w:basedOn w:val="Normal"/>
    <w:rsid w:val="006703F9"/>
    <w:rPr>
      <w:rFonts w:eastAsiaTheme="minorHAnsi"/>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222665">
      <w:bodyDiv w:val="1"/>
      <w:marLeft w:val="0"/>
      <w:marRight w:val="0"/>
      <w:marTop w:val="0"/>
      <w:marBottom w:val="0"/>
      <w:divBdr>
        <w:top w:val="none" w:sz="0" w:space="0" w:color="auto"/>
        <w:left w:val="none" w:sz="0" w:space="0" w:color="auto"/>
        <w:bottom w:val="none" w:sz="0" w:space="0" w:color="auto"/>
        <w:right w:val="none" w:sz="0" w:space="0" w:color="auto"/>
      </w:divBdr>
      <w:divsChild>
        <w:div w:id="311761445">
          <w:marLeft w:val="0"/>
          <w:marRight w:val="0"/>
          <w:marTop w:val="0"/>
          <w:marBottom w:val="0"/>
          <w:divBdr>
            <w:top w:val="none" w:sz="0" w:space="0" w:color="auto"/>
            <w:left w:val="none" w:sz="0" w:space="0" w:color="auto"/>
            <w:bottom w:val="none" w:sz="0" w:space="0" w:color="auto"/>
            <w:right w:val="none" w:sz="0" w:space="0" w:color="auto"/>
          </w:divBdr>
          <w:divsChild>
            <w:div w:id="118450594">
              <w:marLeft w:val="3225"/>
              <w:marRight w:val="0"/>
              <w:marTop w:val="0"/>
              <w:marBottom w:val="0"/>
              <w:divBdr>
                <w:top w:val="none" w:sz="0" w:space="0" w:color="auto"/>
                <w:left w:val="none" w:sz="0" w:space="0" w:color="auto"/>
                <w:bottom w:val="none" w:sz="0" w:space="0" w:color="auto"/>
                <w:right w:val="none" w:sz="0" w:space="0" w:color="auto"/>
              </w:divBdr>
              <w:divsChild>
                <w:div w:id="843327454">
                  <w:marLeft w:val="90"/>
                  <w:marRight w:val="0"/>
                  <w:marTop w:val="0"/>
                  <w:marBottom w:val="0"/>
                  <w:divBdr>
                    <w:top w:val="single" w:sz="6" w:space="0" w:color="EEEEEE"/>
                    <w:left w:val="none" w:sz="0" w:space="0" w:color="auto"/>
                    <w:bottom w:val="none" w:sz="0" w:space="0" w:color="auto"/>
                    <w:right w:val="none" w:sz="0" w:space="0" w:color="auto"/>
                  </w:divBdr>
                  <w:divsChild>
                    <w:div w:id="549151872">
                      <w:marLeft w:val="0"/>
                      <w:marRight w:val="0"/>
                      <w:marTop w:val="0"/>
                      <w:marBottom w:val="0"/>
                      <w:divBdr>
                        <w:top w:val="none" w:sz="0" w:space="0" w:color="auto"/>
                        <w:left w:val="none" w:sz="0" w:space="0" w:color="auto"/>
                        <w:bottom w:val="none" w:sz="0" w:space="0" w:color="auto"/>
                        <w:right w:val="none" w:sz="0" w:space="0" w:color="auto"/>
                      </w:divBdr>
                      <w:divsChild>
                        <w:div w:id="1173834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261065">
      <w:bodyDiv w:val="1"/>
      <w:marLeft w:val="0"/>
      <w:marRight w:val="0"/>
      <w:marTop w:val="0"/>
      <w:marBottom w:val="0"/>
      <w:divBdr>
        <w:top w:val="none" w:sz="0" w:space="0" w:color="auto"/>
        <w:left w:val="none" w:sz="0" w:space="0" w:color="auto"/>
        <w:bottom w:val="none" w:sz="0" w:space="0" w:color="auto"/>
        <w:right w:val="none" w:sz="0" w:space="0" w:color="auto"/>
      </w:divBdr>
      <w:divsChild>
        <w:div w:id="1528371886">
          <w:marLeft w:val="0"/>
          <w:marRight w:val="0"/>
          <w:marTop w:val="0"/>
          <w:marBottom w:val="0"/>
          <w:divBdr>
            <w:top w:val="none" w:sz="0" w:space="0" w:color="auto"/>
            <w:left w:val="none" w:sz="0" w:space="0" w:color="auto"/>
            <w:bottom w:val="none" w:sz="0" w:space="0" w:color="auto"/>
            <w:right w:val="none" w:sz="0" w:space="0" w:color="auto"/>
          </w:divBdr>
          <w:divsChild>
            <w:div w:id="1630431709">
              <w:marLeft w:val="3225"/>
              <w:marRight w:val="0"/>
              <w:marTop w:val="0"/>
              <w:marBottom w:val="0"/>
              <w:divBdr>
                <w:top w:val="none" w:sz="0" w:space="0" w:color="auto"/>
                <w:left w:val="none" w:sz="0" w:space="0" w:color="auto"/>
                <w:bottom w:val="none" w:sz="0" w:space="0" w:color="auto"/>
                <w:right w:val="none" w:sz="0" w:space="0" w:color="auto"/>
              </w:divBdr>
              <w:divsChild>
                <w:div w:id="1082527861">
                  <w:marLeft w:val="90"/>
                  <w:marRight w:val="0"/>
                  <w:marTop w:val="0"/>
                  <w:marBottom w:val="0"/>
                  <w:divBdr>
                    <w:top w:val="single" w:sz="6" w:space="0" w:color="EEEEEE"/>
                    <w:left w:val="none" w:sz="0" w:space="0" w:color="auto"/>
                    <w:bottom w:val="none" w:sz="0" w:space="0" w:color="auto"/>
                    <w:right w:val="none" w:sz="0" w:space="0" w:color="auto"/>
                  </w:divBdr>
                  <w:divsChild>
                    <w:div w:id="1322461986">
                      <w:marLeft w:val="0"/>
                      <w:marRight w:val="0"/>
                      <w:marTop w:val="0"/>
                      <w:marBottom w:val="0"/>
                      <w:divBdr>
                        <w:top w:val="none" w:sz="0" w:space="0" w:color="auto"/>
                        <w:left w:val="none" w:sz="0" w:space="0" w:color="auto"/>
                        <w:bottom w:val="none" w:sz="0" w:space="0" w:color="auto"/>
                        <w:right w:val="none" w:sz="0" w:space="0" w:color="auto"/>
                      </w:divBdr>
                      <w:divsChild>
                        <w:div w:id="128950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113302">
      <w:bodyDiv w:val="1"/>
      <w:marLeft w:val="0"/>
      <w:marRight w:val="0"/>
      <w:marTop w:val="0"/>
      <w:marBottom w:val="0"/>
      <w:divBdr>
        <w:top w:val="none" w:sz="0" w:space="0" w:color="auto"/>
        <w:left w:val="none" w:sz="0" w:space="0" w:color="auto"/>
        <w:bottom w:val="none" w:sz="0" w:space="0" w:color="auto"/>
        <w:right w:val="none" w:sz="0" w:space="0" w:color="auto"/>
      </w:divBdr>
    </w:div>
    <w:div w:id="179776838">
      <w:bodyDiv w:val="1"/>
      <w:marLeft w:val="0"/>
      <w:marRight w:val="0"/>
      <w:marTop w:val="0"/>
      <w:marBottom w:val="0"/>
      <w:divBdr>
        <w:top w:val="none" w:sz="0" w:space="0" w:color="auto"/>
        <w:left w:val="none" w:sz="0" w:space="0" w:color="auto"/>
        <w:bottom w:val="none" w:sz="0" w:space="0" w:color="auto"/>
        <w:right w:val="none" w:sz="0" w:space="0" w:color="auto"/>
      </w:divBdr>
    </w:div>
    <w:div w:id="241572347">
      <w:bodyDiv w:val="1"/>
      <w:marLeft w:val="0"/>
      <w:marRight w:val="0"/>
      <w:marTop w:val="0"/>
      <w:marBottom w:val="0"/>
      <w:divBdr>
        <w:top w:val="none" w:sz="0" w:space="0" w:color="auto"/>
        <w:left w:val="none" w:sz="0" w:space="0" w:color="auto"/>
        <w:bottom w:val="none" w:sz="0" w:space="0" w:color="auto"/>
        <w:right w:val="none" w:sz="0" w:space="0" w:color="auto"/>
      </w:divBdr>
      <w:divsChild>
        <w:div w:id="2116896353">
          <w:marLeft w:val="0"/>
          <w:marRight w:val="0"/>
          <w:marTop w:val="0"/>
          <w:marBottom w:val="0"/>
          <w:divBdr>
            <w:top w:val="none" w:sz="0" w:space="0" w:color="auto"/>
            <w:left w:val="none" w:sz="0" w:space="0" w:color="auto"/>
            <w:bottom w:val="none" w:sz="0" w:space="0" w:color="auto"/>
            <w:right w:val="none" w:sz="0" w:space="0" w:color="auto"/>
          </w:divBdr>
          <w:divsChild>
            <w:div w:id="1379472352">
              <w:marLeft w:val="3225"/>
              <w:marRight w:val="0"/>
              <w:marTop w:val="0"/>
              <w:marBottom w:val="0"/>
              <w:divBdr>
                <w:top w:val="none" w:sz="0" w:space="0" w:color="auto"/>
                <w:left w:val="none" w:sz="0" w:space="0" w:color="auto"/>
                <w:bottom w:val="none" w:sz="0" w:space="0" w:color="auto"/>
                <w:right w:val="none" w:sz="0" w:space="0" w:color="auto"/>
              </w:divBdr>
              <w:divsChild>
                <w:div w:id="249314033">
                  <w:marLeft w:val="90"/>
                  <w:marRight w:val="0"/>
                  <w:marTop w:val="0"/>
                  <w:marBottom w:val="0"/>
                  <w:divBdr>
                    <w:top w:val="single" w:sz="6" w:space="0" w:color="EEEEEE"/>
                    <w:left w:val="none" w:sz="0" w:space="0" w:color="auto"/>
                    <w:bottom w:val="none" w:sz="0" w:space="0" w:color="auto"/>
                    <w:right w:val="none" w:sz="0" w:space="0" w:color="auto"/>
                  </w:divBdr>
                  <w:divsChild>
                    <w:div w:id="1046415417">
                      <w:marLeft w:val="0"/>
                      <w:marRight w:val="0"/>
                      <w:marTop w:val="0"/>
                      <w:marBottom w:val="0"/>
                      <w:divBdr>
                        <w:top w:val="none" w:sz="0" w:space="0" w:color="auto"/>
                        <w:left w:val="none" w:sz="0" w:space="0" w:color="auto"/>
                        <w:bottom w:val="none" w:sz="0" w:space="0" w:color="auto"/>
                        <w:right w:val="none" w:sz="0" w:space="0" w:color="auto"/>
                      </w:divBdr>
                      <w:divsChild>
                        <w:div w:id="401879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94988285">
      <w:bodyDiv w:val="1"/>
      <w:marLeft w:val="0"/>
      <w:marRight w:val="0"/>
      <w:marTop w:val="0"/>
      <w:marBottom w:val="0"/>
      <w:divBdr>
        <w:top w:val="none" w:sz="0" w:space="0" w:color="auto"/>
        <w:left w:val="none" w:sz="0" w:space="0" w:color="auto"/>
        <w:bottom w:val="none" w:sz="0" w:space="0" w:color="auto"/>
        <w:right w:val="none" w:sz="0" w:space="0" w:color="auto"/>
      </w:divBdr>
      <w:divsChild>
        <w:div w:id="2059864428">
          <w:marLeft w:val="0"/>
          <w:marRight w:val="0"/>
          <w:marTop w:val="0"/>
          <w:marBottom w:val="0"/>
          <w:divBdr>
            <w:top w:val="none" w:sz="0" w:space="0" w:color="auto"/>
            <w:left w:val="none" w:sz="0" w:space="0" w:color="auto"/>
            <w:bottom w:val="none" w:sz="0" w:space="0" w:color="auto"/>
            <w:right w:val="none" w:sz="0" w:space="0" w:color="auto"/>
          </w:divBdr>
          <w:divsChild>
            <w:div w:id="1841963270">
              <w:marLeft w:val="3225"/>
              <w:marRight w:val="0"/>
              <w:marTop w:val="0"/>
              <w:marBottom w:val="0"/>
              <w:divBdr>
                <w:top w:val="none" w:sz="0" w:space="0" w:color="auto"/>
                <w:left w:val="none" w:sz="0" w:space="0" w:color="auto"/>
                <w:bottom w:val="none" w:sz="0" w:space="0" w:color="auto"/>
                <w:right w:val="none" w:sz="0" w:space="0" w:color="auto"/>
              </w:divBdr>
              <w:divsChild>
                <w:div w:id="2051873960">
                  <w:marLeft w:val="90"/>
                  <w:marRight w:val="0"/>
                  <w:marTop w:val="0"/>
                  <w:marBottom w:val="0"/>
                  <w:divBdr>
                    <w:top w:val="single" w:sz="6" w:space="0" w:color="EEEEEE"/>
                    <w:left w:val="none" w:sz="0" w:space="0" w:color="auto"/>
                    <w:bottom w:val="none" w:sz="0" w:space="0" w:color="auto"/>
                    <w:right w:val="none" w:sz="0" w:space="0" w:color="auto"/>
                  </w:divBdr>
                  <w:divsChild>
                    <w:div w:id="1710762630">
                      <w:marLeft w:val="0"/>
                      <w:marRight w:val="0"/>
                      <w:marTop w:val="0"/>
                      <w:marBottom w:val="0"/>
                      <w:divBdr>
                        <w:top w:val="none" w:sz="0" w:space="0" w:color="auto"/>
                        <w:left w:val="none" w:sz="0" w:space="0" w:color="auto"/>
                        <w:bottom w:val="none" w:sz="0" w:space="0" w:color="auto"/>
                        <w:right w:val="none" w:sz="0" w:space="0" w:color="auto"/>
                      </w:divBdr>
                      <w:divsChild>
                        <w:div w:id="204722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9479982">
      <w:bodyDiv w:val="1"/>
      <w:marLeft w:val="0"/>
      <w:marRight w:val="0"/>
      <w:marTop w:val="0"/>
      <w:marBottom w:val="0"/>
      <w:divBdr>
        <w:top w:val="none" w:sz="0" w:space="0" w:color="auto"/>
        <w:left w:val="none" w:sz="0" w:space="0" w:color="auto"/>
        <w:bottom w:val="none" w:sz="0" w:space="0" w:color="auto"/>
        <w:right w:val="none" w:sz="0" w:space="0" w:color="auto"/>
      </w:divBdr>
    </w:div>
    <w:div w:id="372342213">
      <w:bodyDiv w:val="1"/>
      <w:marLeft w:val="0"/>
      <w:marRight w:val="0"/>
      <w:marTop w:val="0"/>
      <w:marBottom w:val="0"/>
      <w:divBdr>
        <w:top w:val="none" w:sz="0" w:space="0" w:color="auto"/>
        <w:left w:val="none" w:sz="0" w:space="0" w:color="auto"/>
        <w:bottom w:val="none" w:sz="0" w:space="0" w:color="auto"/>
        <w:right w:val="none" w:sz="0" w:space="0" w:color="auto"/>
      </w:divBdr>
    </w:div>
    <w:div w:id="417019433">
      <w:bodyDiv w:val="1"/>
      <w:marLeft w:val="0"/>
      <w:marRight w:val="0"/>
      <w:marTop w:val="0"/>
      <w:marBottom w:val="0"/>
      <w:divBdr>
        <w:top w:val="none" w:sz="0" w:space="0" w:color="auto"/>
        <w:left w:val="none" w:sz="0" w:space="0" w:color="auto"/>
        <w:bottom w:val="none" w:sz="0" w:space="0" w:color="auto"/>
        <w:right w:val="none" w:sz="0" w:space="0" w:color="auto"/>
      </w:divBdr>
      <w:divsChild>
        <w:div w:id="40522402">
          <w:marLeft w:val="0"/>
          <w:marRight w:val="0"/>
          <w:marTop w:val="0"/>
          <w:marBottom w:val="0"/>
          <w:divBdr>
            <w:top w:val="none" w:sz="0" w:space="0" w:color="auto"/>
            <w:left w:val="none" w:sz="0" w:space="0" w:color="auto"/>
            <w:bottom w:val="none" w:sz="0" w:space="0" w:color="auto"/>
            <w:right w:val="none" w:sz="0" w:space="0" w:color="auto"/>
          </w:divBdr>
        </w:div>
        <w:div w:id="188951395">
          <w:marLeft w:val="0"/>
          <w:marRight w:val="0"/>
          <w:marTop w:val="0"/>
          <w:marBottom w:val="0"/>
          <w:divBdr>
            <w:top w:val="none" w:sz="0" w:space="0" w:color="auto"/>
            <w:left w:val="none" w:sz="0" w:space="0" w:color="auto"/>
            <w:bottom w:val="none" w:sz="0" w:space="0" w:color="auto"/>
            <w:right w:val="none" w:sz="0" w:space="0" w:color="auto"/>
          </w:divBdr>
        </w:div>
        <w:div w:id="276713931">
          <w:marLeft w:val="0"/>
          <w:marRight w:val="0"/>
          <w:marTop w:val="0"/>
          <w:marBottom w:val="0"/>
          <w:divBdr>
            <w:top w:val="none" w:sz="0" w:space="0" w:color="auto"/>
            <w:left w:val="none" w:sz="0" w:space="0" w:color="auto"/>
            <w:bottom w:val="none" w:sz="0" w:space="0" w:color="auto"/>
            <w:right w:val="none" w:sz="0" w:space="0" w:color="auto"/>
          </w:divBdr>
        </w:div>
        <w:div w:id="438530561">
          <w:marLeft w:val="0"/>
          <w:marRight w:val="0"/>
          <w:marTop w:val="0"/>
          <w:marBottom w:val="0"/>
          <w:divBdr>
            <w:top w:val="none" w:sz="0" w:space="0" w:color="auto"/>
            <w:left w:val="none" w:sz="0" w:space="0" w:color="auto"/>
            <w:bottom w:val="none" w:sz="0" w:space="0" w:color="auto"/>
            <w:right w:val="none" w:sz="0" w:space="0" w:color="auto"/>
          </w:divBdr>
        </w:div>
        <w:div w:id="438842658">
          <w:marLeft w:val="0"/>
          <w:marRight w:val="0"/>
          <w:marTop w:val="0"/>
          <w:marBottom w:val="0"/>
          <w:divBdr>
            <w:top w:val="none" w:sz="0" w:space="0" w:color="auto"/>
            <w:left w:val="none" w:sz="0" w:space="0" w:color="auto"/>
            <w:bottom w:val="none" w:sz="0" w:space="0" w:color="auto"/>
            <w:right w:val="none" w:sz="0" w:space="0" w:color="auto"/>
          </w:divBdr>
        </w:div>
        <w:div w:id="443043344">
          <w:marLeft w:val="0"/>
          <w:marRight w:val="0"/>
          <w:marTop w:val="0"/>
          <w:marBottom w:val="0"/>
          <w:divBdr>
            <w:top w:val="none" w:sz="0" w:space="0" w:color="auto"/>
            <w:left w:val="none" w:sz="0" w:space="0" w:color="auto"/>
            <w:bottom w:val="none" w:sz="0" w:space="0" w:color="auto"/>
            <w:right w:val="none" w:sz="0" w:space="0" w:color="auto"/>
          </w:divBdr>
        </w:div>
        <w:div w:id="474222138">
          <w:marLeft w:val="0"/>
          <w:marRight w:val="0"/>
          <w:marTop w:val="0"/>
          <w:marBottom w:val="0"/>
          <w:divBdr>
            <w:top w:val="none" w:sz="0" w:space="0" w:color="auto"/>
            <w:left w:val="none" w:sz="0" w:space="0" w:color="auto"/>
            <w:bottom w:val="none" w:sz="0" w:space="0" w:color="auto"/>
            <w:right w:val="none" w:sz="0" w:space="0" w:color="auto"/>
          </w:divBdr>
        </w:div>
        <w:div w:id="538929655">
          <w:marLeft w:val="0"/>
          <w:marRight w:val="0"/>
          <w:marTop w:val="0"/>
          <w:marBottom w:val="0"/>
          <w:divBdr>
            <w:top w:val="none" w:sz="0" w:space="0" w:color="auto"/>
            <w:left w:val="none" w:sz="0" w:space="0" w:color="auto"/>
            <w:bottom w:val="none" w:sz="0" w:space="0" w:color="auto"/>
            <w:right w:val="none" w:sz="0" w:space="0" w:color="auto"/>
          </w:divBdr>
        </w:div>
        <w:div w:id="622808944">
          <w:marLeft w:val="0"/>
          <w:marRight w:val="0"/>
          <w:marTop w:val="0"/>
          <w:marBottom w:val="0"/>
          <w:divBdr>
            <w:top w:val="none" w:sz="0" w:space="0" w:color="auto"/>
            <w:left w:val="none" w:sz="0" w:space="0" w:color="auto"/>
            <w:bottom w:val="none" w:sz="0" w:space="0" w:color="auto"/>
            <w:right w:val="none" w:sz="0" w:space="0" w:color="auto"/>
          </w:divBdr>
        </w:div>
        <w:div w:id="779227998">
          <w:marLeft w:val="0"/>
          <w:marRight w:val="0"/>
          <w:marTop w:val="0"/>
          <w:marBottom w:val="0"/>
          <w:divBdr>
            <w:top w:val="none" w:sz="0" w:space="0" w:color="auto"/>
            <w:left w:val="none" w:sz="0" w:space="0" w:color="auto"/>
            <w:bottom w:val="none" w:sz="0" w:space="0" w:color="auto"/>
            <w:right w:val="none" w:sz="0" w:space="0" w:color="auto"/>
          </w:divBdr>
        </w:div>
        <w:div w:id="820776465">
          <w:marLeft w:val="0"/>
          <w:marRight w:val="0"/>
          <w:marTop w:val="0"/>
          <w:marBottom w:val="0"/>
          <w:divBdr>
            <w:top w:val="none" w:sz="0" w:space="0" w:color="auto"/>
            <w:left w:val="none" w:sz="0" w:space="0" w:color="auto"/>
            <w:bottom w:val="none" w:sz="0" w:space="0" w:color="auto"/>
            <w:right w:val="none" w:sz="0" w:space="0" w:color="auto"/>
          </w:divBdr>
        </w:div>
        <w:div w:id="887185553">
          <w:marLeft w:val="0"/>
          <w:marRight w:val="0"/>
          <w:marTop w:val="0"/>
          <w:marBottom w:val="0"/>
          <w:divBdr>
            <w:top w:val="none" w:sz="0" w:space="0" w:color="auto"/>
            <w:left w:val="none" w:sz="0" w:space="0" w:color="auto"/>
            <w:bottom w:val="none" w:sz="0" w:space="0" w:color="auto"/>
            <w:right w:val="none" w:sz="0" w:space="0" w:color="auto"/>
          </w:divBdr>
        </w:div>
        <w:div w:id="1073965996">
          <w:marLeft w:val="0"/>
          <w:marRight w:val="0"/>
          <w:marTop w:val="0"/>
          <w:marBottom w:val="0"/>
          <w:divBdr>
            <w:top w:val="none" w:sz="0" w:space="0" w:color="auto"/>
            <w:left w:val="none" w:sz="0" w:space="0" w:color="auto"/>
            <w:bottom w:val="none" w:sz="0" w:space="0" w:color="auto"/>
            <w:right w:val="none" w:sz="0" w:space="0" w:color="auto"/>
          </w:divBdr>
        </w:div>
        <w:div w:id="1110390948">
          <w:marLeft w:val="0"/>
          <w:marRight w:val="0"/>
          <w:marTop w:val="0"/>
          <w:marBottom w:val="0"/>
          <w:divBdr>
            <w:top w:val="none" w:sz="0" w:space="0" w:color="auto"/>
            <w:left w:val="none" w:sz="0" w:space="0" w:color="auto"/>
            <w:bottom w:val="none" w:sz="0" w:space="0" w:color="auto"/>
            <w:right w:val="none" w:sz="0" w:space="0" w:color="auto"/>
          </w:divBdr>
        </w:div>
        <w:div w:id="1134711467">
          <w:marLeft w:val="0"/>
          <w:marRight w:val="0"/>
          <w:marTop w:val="0"/>
          <w:marBottom w:val="0"/>
          <w:divBdr>
            <w:top w:val="none" w:sz="0" w:space="0" w:color="auto"/>
            <w:left w:val="none" w:sz="0" w:space="0" w:color="auto"/>
            <w:bottom w:val="none" w:sz="0" w:space="0" w:color="auto"/>
            <w:right w:val="none" w:sz="0" w:space="0" w:color="auto"/>
          </w:divBdr>
        </w:div>
        <w:div w:id="1170027991">
          <w:marLeft w:val="0"/>
          <w:marRight w:val="0"/>
          <w:marTop w:val="0"/>
          <w:marBottom w:val="0"/>
          <w:divBdr>
            <w:top w:val="none" w:sz="0" w:space="0" w:color="auto"/>
            <w:left w:val="none" w:sz="0" w:space="0" w:color="auto"/>
            <w:bottom w:val="none" w:sz="0" w:space="0" w:color="auto"/>
            <w:right w:val="none" w:sz="0" w:space="0" w:color="auto"/>
          </w:divBdr>
        </w:div>
        <w:div w:id="1212881488">
          <w:marLeft w:val="0"/>
          <w:marRight w:val="0"/>
          <w:marTop w:val="0"/>
          <w:marBottom w:val="0"/>
          <w:divBdr>
            <w:top w:val="none" w:sz="0" w:space="0" w:color="auto"/>
            <w:left w:val="none" w:sz="0" w:space="0" w:color="auto"/>
            <w:bottom w:val="none" w:sz="0" w:space="0" w:color="auto"/>
            <w:right w:val="none" w:sz="0" w:space="0" w:color="auto"/>
          </w:divBdr>
        </w:div>
        <w:div w:id="1221290412">
          <w:marLeft w:val="0"/>
          <w:marRight w:val="0"/>
          <w:marTop w:val="0"/>
          <w:marBottom w:val="0"/>
          <w:divBdr>
            <w:top w:val="none" w:sz="0" w:space="0" w:color="auto"/>
            <w:left w:val="none" w:sz="0" w:space="0" w:color="auto"/>
            <w:bottom w:val="none" w:sz="0" w:space="0" w:color="auto"/>
            <w:right w:val="none" w:sz="0" w:space="0" w:color="auto"/>
          </w:divBdr>
        </w:div>
        <w:div w:id="1246067434">
          <w:marLeft w:val="0"/>
          <w:marRight w:val="0"/>
          <w:marTop w:val="0"/>
          <w:marBottom w:val="0"/>
          <w:divBdr>
            <w:top w:val="none" w:sz="0" w:space="0" w:color="auto"/>
            <w:left w:val="none" w:sz="0" w:space="0" w:color="auto"/>
            <w:bottom w:val="none" w:sz="0" w:space="0" w:color="auto"/>
            <w:right w:val="none" w:sz="0" w:space="0" w:color="auto"/>
          </w:divBdr>
        </w:div>
        <w:div w:id="1514420118">
          <w:marLeft w:val="0"/>
          <w:marRight w:val="0"/>
          <w:marTop w:val="0"/>
          <w:marBottom w:val="0"/>
          <w:divBdr>
            <w:top w:val="none" w:sz="0" w:space="0" w:color="auto"/>
            <w:left w:val="none" w:sz="0" w:space="0" w:color="auto"/>
            <w:bottom w:val="none" w:sz="0" w:space="0" w:color="auto"/>
            <w:right w:val="none" w:sz="0" w:space="0" w:color="auto"/>
          </w:divBdr>
        </w:div>
        <w:div w:id="1611818088">
          <w:marLeft w:val="0"/>
          <w:marRight w:val="0"/>
          <w:marTop w:val="0"/>
          <w:marBottom w:val="0"/>
          <w:divBdr>
            <w:top w:val="none" w:sz="0" w:space="0" w:color="auto"/>
            <w:left w:val="none" w:sz="0" w:space="0" w:color="auto"/>
            <w:bottom w:val="none" w:sz="0" w:space="0" w:color="auto"/>
            <w:right w:val="none" w:sz="0" w:space="0" w:color="auto"/>
          </w:divBdr>
        </w:div>
        <w:div w:id="1709986832">
          <w:marLeft w:val="0"/>
          <w:marRight w:val="0"/>
          <w:marTop w:val="0"/>
          <w:marBottom w:val="0"/>
          <w:divBdr>
            <w:top w:val="none" w:sz="0" w:space="0" w:color="auto"/>
            <w:left w:val="none" w:sz="0" w:space="0" w:color="auto"/>
            <w:bottom w:val="none" w:sz="0" w:space="0" w:color="auto"/>
            <w:right w:val="none" w:sz="0" w:space="0" w:color="auto"/>
          </w:divBdr>
        </w:div>
        <w:div w:id="1831554743">
          <w:marLeft w:val="0"/>
          <w:marRight w:val="0"/>
          <w:marTop w:val="0"/>
          <w:marBottom w:val="0"/>
          <w:divBdr>
            <w:top w:val="none" w:sz="0" w:space="0" w:color="auto"/>
            <w:left w:val="none" w:sz="0" w:space="0" w:color="auto"/>
            <w:bottom w:val="none" w:sz="0" w:space="0" w:color="auto"/>
            <w:right w:val="none" w:sz="0" w:space="0" w:color="auto"/>
          </w:divBdr>
        </w:div>
        <w:div w:id="1910455028">
          <w:marLeft w:val="0"/>
          <w:marRight w:val="0"/>
          <w:marTop w:val="0"/>
          <w:marBottom w:val="0"/>
          <w:divBdr>
            <w:top w:val="none" w:sz="0" w:space="0" w:color="auto"/>
            <w:left w:val="none" w:sz="0" w:space="0" w:color="auto"/>
            <w:bottom w:val="none" w:sz="0" w:space="0" w:color="auto"/>
            <w:right w:val="none" w:sz="0" w:space="0" w:color="auto"/>
          </w:divBdr>
        </w:div>
        <w:div w:id="2053379334">
          <w:marLeft w:val="0"/>
          <w:marRight w:val="0"/>
          <w:marTop w:val="0"/>
          <w:marBottom w:val="0"/>
          <w:divBdr>
            <w:top w:val="none" w:sz="0" w:space="0" w:color="auto"/>
            <w:left w:val="none" w:sz="0" w:space="0" w:color="auto"/>
            <w:bottom w:val="none" w:sz="0" w:space="0" w:color="auto"/>
            <w:right w:val="none" w:sz="0" w:space="0" w:color="auto"/>
          </w:divBdr>
        </w:div>
        <w:div w:id="2071346282">
          <w:marLeft w:val="0"/>
          <w:marRight w:val="0"/>
          <w:marTop w:val="0"/>
          <w:marBottom w:val="0"/>
          <w:divBdr>
            <w:top w:val="none" w:sz="0" w:space="0" w:color="auto"/>
            <w:left w:val="none" w:sz="0" w:space="0" w:color="auto"/>
            <w:bottom w:val="none" w:sz="0" w:space="0" w:color="auto"/>
            <w:right w:val="none" w:sz="0" w:space="0" w:color="auto"/>
          </w:divBdr>
        </w:div>
        <w:div w:id="2096047601">
          <w:marLeft w:val="0"/>
          <w:marRight w:val="0"/>
          <w:marTop w:val="0"/>
          <w:marBottom w:val="0"/>
          <w:divBdr>
            <w:top w:val="none" w:sz="0" w:space="0" w:color="auto"/>
            <w:left w:val="none" w:sz="0" w:space="0" w:color="auto"/>
            <w:bottom w:val="none" w:sz="0" w:space="0" w:color="auto"/>
            <w:right w:val="none" w:sz="0" w:space="0" w:color="auto"/>
          </w:divBdr>
        </w:div>
        <w:div w:id="2132744686">
          <w:marLeft w:val="0"/>
          <w:marRight w:val="0"/>
          <w:marTop w:val="0"/>
          <w:marBottom w:val="0"/>
          <w:divBdr>
            <w:top w:val="none" w:sz="0" w:space="0" w:color="auto"/>
            <w:left w:val="none" w:sz="0" w:space="0" w:color="auto"/>
            <w:bottom w:val="none" w:sz="0" w:space="0" w:color="auto"/>
            <w:right w:val="none" w:sz="0" w:space="0" w:color="auto"/>
          </w:divBdr>
        </w:div>
      </w:divsChild>
    </w:div>
    <w:div w:id="436680302">
      <w:bodyDiv w:val="1"/>
      <w:marLeft w:val="0"/>
      <w:marRight w:val="0"/>
      <w:marTop w:val="0"/>
      <w:marBottom w:val="0"/>
      <w:divBdr>
        <w:top w:val="none" w:sz="0" w:space="0" w:color="auto"/>
        <w:left w:val="none" w:sz="0" w:space="0" w:color="auto"/>
        <w:bottom w:val="none" w:sz="0" w:space="0" w:color="auto"/>
        <w:right w:val="none" w:sz="0" w:space="0" w:color="auto"/>
      </w:divBdr>
      <w:divsChild>
        <w:div w:id="300962739">
          <w:marLeft w:val="3"/>
          <w:marRight w:val="3"/>
          <w:marTop w:val="0"/>
          <w:marBottom w:val="0"/>
          <w:divBdr>
            <w:top w:val="single" w:sz="6" w:space="0" w:color="112449"/>
            <w:left w:val="single" w:sz="6" w:space="0" w:color="112449"/>
            <w:bottom w:val="single" w:sz="6" w:space="0" w:color="112449"/>
            <w:right w:val="single" w:sz="6" w:space="0" w:color="112449"/>
          </w:divBdr>
          <w:divsChild>
            <w:div w:id="1917934389">
              <w:marLeft w:val="3"/>
              <w:marRight w:val="3"/>
              <w:marTop w:val="0"/>
              <w:marBottom w:val="0"/>
              <w:divBdr>
                <w:top w:val="single" w:sz="6" w:space="0" w:color="112449"/>
                <w:left w:val="single" w:sz="6" w:space="0" w:color="112449"/>
                <w:bottom w:val="single" w:sz="6" w:space="0" w:color="112449"/>
                <w:right w:val="single" w:sz="6" w:space="0" w:color="112449"/>
              </w:divBdr>
              <w:divsChild>
                <w:div w:id="96385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343782">
      <w:bodyDiv w:val="1"/>
      <w:marLeft w:val="0"/>
      <w:marRight w:val="0"/>
      <w:marTop w:val="0"/>
      <w:marBottom w:val="0"/>
      <w:divBdr>
        <w:top w:val="none" w:sz="0" w:space="0" w:color="auto"/>
        <w:left w:val="none" w:sz="0" w:space="0" w:color="auto"/>
        <w:bottom w:val="none" w:sz="0" w:space="0" w:color="auto"/>
        <w:right w:val="none" w:sz="0" w:space="0" w:color="auto"/>
      </w:divBdr>
      <w:divsChild>
        <w:div w:id="225259911">
          <w:marLeft w:val="3"/>
          <w:marRight w:val="3"/>
          <w:marTop w:val="0"/>
          <w:marBottom w:val="0"/>
          <w:divBdr>
            <w:top w:val="single" w:sz="6" w:space="0" w:color="112449"/>
            <w:left w:val="single" w:sz="6" w:space="0" w:color="112449"/>
            <w:bottom w:val="single" w:sz="6" w:space="0" w:color="112449"/>
            <w:right w:val="single" w:sz="6" w:space="0" w:color="112449"/>
          </w:divBdr>
          <w:divsChild>
            <w:div w:id="1881435234">
              <w:marLeft w:val="3"/>
              <w:marRight w:val="3"/>
              <w:marTop w:val="0"/>
              <w:marBottom w:val="0"/>
              <w:divBdr>
                <w:top w:val="single" w:sz="6" w:space="0" w:color="112449"/>
                <w:left w:val="single" w:sz="6" w:space="0" w:color="112449"/>
                <w:bottom w:val="single" w:sz="6" w:space="0" w:color="112449"/>
                <w:right w:val="single" w:sz="6" w:space="0" w:color="112449"/>
              </w:divBdr>
              <w:divsChild>
                <w:div w:id="184682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212512">
      <w:bodyDiv w:val="1"/>
      <w:marLeft w:val="0"/>
      <w:marRight w:val="0"/>
      <w:marTop w:val="0"/>
      <w:marBottom w:val="0"/>
      <w:divBdr>
        <w:top w:val="none" w:sz="0" w:space="0" w:color="auto"/>
        <w:left w:val="none" w:sz="0" w:space="0" w:color="auto"/>
        <w:bottom w:val="none" w:sz="0" w:space="0" w:color="auto"/>
        <w:right w:val="none" w:sz="0" w:space="0" w:color="auto"/>
      </w:divBdr>
      <w:divsChild>
        <w:div w:id="1396054129">
          <w:marLeft w:val="2550"/>
          <w:marRight w:val="0"/>
          <w:marTop w:val="0"/>
          <w:marBottom w:val="0"/>
          <w:divBdr>
            <w:top w:val="none" w:sz="0" w:space="0" w:color="auto"/>
            <w:left w:val="none" w:sz="0" w:space="0" w:color="auto"/>
            <w:bottom w:val="none" w:sz="0" w:space="0" w:color="auto"/>
            <w:right w:val="none" w:sz="0" w:space="0" w:color="auto"/>
          </w:divBdr>
        </w:div>
      </w:divsChild>
    </w:div>
    <w:div w:id="598874991">
      <w:bodyDiv w:val="1"/>
      <w:marLeft w:val="0"/>
      <w:marRight w:val="0"/>
      <w:marTop w:val="0"/>
      <w:marBottom w:val="0"/>
      <w:divBdr>
        <w:top w:val="none" w:sz="0" w:space="0" w:color="auto"/>
        <w:left w:val="none" w:sz="0" w:space="0" w:color="auto"/>
        <w:bottom w:val="none" w:sz="0" w:space="0" w:color="auto"/>
        <w:right w:val="none" w:sz="0" w:space="0" w:color="auto"/>
      </w:divBdr>
      <w:divsChild>
        <w:div w:id="1286160556">
          <w:marLeft w:val="0"/>
          <w:marRight w:val="0"/>
          <w:marTop w:val="0"/>
          <w:marBottom w:val="0"/>
          <w:divBdr>
            <w:top w:val="none" w:sz="0" w:space="0" w:color="auto"/>
            <w:left w:val="none" w:sz="0" w:space="0" w:color="auto"/>
            <w:bottom w:val="none" w:sz="0" w:space="0" w:color="auto"/>
            <w:right w:val="none" w:sz="0" w:space="0" w:color="auto"/>
          </w:divBdr>
          <w:divsChild>
            <w:div w:id="1865052667">
              <w:marLeft w:val="3225"/>
              <w:marRight w:val="0"/>
              <w:marTop w:val="0"/>
              <w:marBottom w:val="0"/>
              <w:divBdr>
                <w:top w:val="none" w:sz="0" w:space="0" w:color="auto"/>
                <w:left w:val="none" w:sz="0" w:space="0" w:color="auto"/>
                <w:bottom w:val="none" w:sz="0" w:space="0" w:color="auto"/>
                <w:right w:val="none" w:sz="0" w:space="0" w:color="auto"/>
              </w:divBdr>
              <w:divsChild>
                <w:div w:id="2103451469">
                  <w:marLeft w:val="90"/>
                  <w:marRight w:val="0"/>
                  <w:marTop w:val="0"/>
                  <w:marBottom w:val="0"/>
                  <w:divBdr>
                    <w:top w:val="single" w:sz="6" w:space="0" w:color="EEEEEE"/>
                    <w:left w:val="none" w:sz="0" w:space="0" w:color="auto"/>
                    <w:bottom w:val="none" w:sz="0" w:space="0" w:color="auto"/>
                    <w:right w:val="none" w:sz="0" w:space="0" w:color="auto"/>
                  </w:divBdr>
                  <w:divsChild>
                    <w:div w:id="1699507614">
                      <w:marLeft w:val="0"/>
                      <w:marRight w:val="0"/>
                      <w:marTop w:val="0"/>
                      <w:marBottom w:val="0"/>
                      <w:divBdr>
                        <w:top w:val="none" w:sz="0" w:space="0" w:color="auto"/>
                        <w:left w:val="none" w:sz="0" w:space="0" w:color="auto"/>
                        <w:bottom w:val="none" w:sz="0" w:space="0" w:color="auto"/>
                        <w:right w:val="none" w:sz="0" w:space="0" w:color="auto"/>
                      </w:divBdr>
                      <w:divsChild>
                        <w:div w:id="875430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0745995">
      <w:bodyDiv w:val="1"/>
      <w:marLeft w:val="0"/>
      <w:marRight w:val="0"/>
      <w:marTop w:val="0"/>
      <w:marBottom w:val="0"/>
      <w:divBdr>
        <w:top w:val="none" w:sz="0" w:space="0" w:color="auto"/>
        <w:left w:val="none" w:sz="0" w:space="0" w:color="auto"/>
        <w:bottom w:val="none" w:sz="0" w:space="0" w:color="auto"/>
        <w:right w:val="none" w:sz="0" w:space="0" w:color="auto"/>
      </w:divBdr>
      <w:divsChild>
        <w:div w:id="1820809106">
          <w:marLeft w:val="0"/>
          <w:marRight w:val="0"/>
          <w:marTop w:val="0"/>
          <w:marBottom w:val="0"/>
          <w:divBdr>
            <w:top w:val="none" w:sz="0" w:space="0" w:color="auto"/>
            <w:left w:val="none" w:sz="0" w:space="0" w:color="auto"/>
            <w:bottom w:val="none" w:sz="0" w:space="0" w:color="auto"/>
            <w:right w:val="none" w:sz="0" w:space="0" w:color="auto"/>
          </w:divBdr>
          <w:divsChild>
            <w:div w:id="1435322983">
              <w:marLeft w:val="3225"/>
              <w:marRight w:val="0"/>
              <w:marTop w:val="0"/>
              <w:marBottom w:val="0"/>
              <w:divBdr>
                <w:top w:val="none" w:sz="0" w:space="0" w:color="auto"/>
                <w:left w:val="none" w:sz="0" w:space="0" w:color="auto"/>
                <w:bottom w:val="none" w:sz="0" w:space="0" w:color="auto"/>
                <w:right w:val="none" w:sz="0" w:space="0" w:color="auto"/>
              </w:divBdr>
              <w:divsChild>
                <w:div w:id="1277519554">
                  <w:marLeft w:val="90"/>
                  <w:marRight w:val="0"/>
                  <w:marTop w:val="0"/>
                  <w:marBottom w:val="0"/>
                  <w:divBdr>
                    <w:top w:val="single" w:sz="6" w:space="0" w:color="EEEEEE"/>
                    <w:left w:val="none" w:sz="0" w:space="0" w:color="auto"/>
                    <w:bottom w:val="none" w:sz="0" w:space="0" w:color="auto"/>
                    <w:right w:val="none" w:sz="0" w:space="0" w:color="auto"/>
                  </w:divBdr>
                  <w:divsChild>
                    <w:div w:id="887642390">
                      <w:marLeft w:val="0"/>
                      <w:marRight w:val="0"/>
                      <w:marTop w:val="0"/>
                      <w:marBottom w:val="0"/>
                      <w:divBdr>
                        <w:top w:val="none" w:sz="0" w:space="0" w:color="auto"/>
                        <w:left w:val="none" w:sz="0" w:space="0" w:color="auto"/>
                        <w:bottom w:val="none" w:sz="0" w:space="0" w:color="auto"/>
                        <w:right w:val="none" w:sz="0" w:space="0" w:color="auto"/>
                      </w:divBdr>
                      <w:divsChild>
                        <w:div w:id="213189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1525326">
      <w:bodyDiv w:val="1"/>
      <w:marLeft w:val="0"/>
      <w:marRight w:val="0"/>
      <w:marTop w:val="0"/>
      <w:marBottom w:val="0"/>
      <w:divBdr>
        <w:top w:val="none" w:sz="0" w:space="0" w:color="auto"/>
        <w:left w:val="none" w:sz="0" w:space="0" w:color="auto"/>
        <w:bottom w:val="none" w:sz="0" w:space="0" w:color="auto"/>
        <w:right w:val="none" w:sz="0" w:space="0" w:color="auto"/>
      </w:divBdr>
      <w:divsChild>
        <w:div w:id="795412502">
          <w:marLeft w:val="0"/>
          <w:marRight w:val="0"/>
          <w:marTop w:val="0"/>
          <w:marBottom w:val="0"/>
          <w:divBdr>
            <w:top w:val="none" w:sz="0" w:space="0" w:color="auto"/>
            <w:left w:val="none" w:sz="0" w:space="0" w:color="auto"/>
            <w:bottom w:val="none" w:sz="0" w:space="0" w:color="auto"/>
            <w:right w:val="none" w:sz="0" w:space="0" w:color="auto"/>
          </w:divBdr>
        </w:div>
        <w:div w:id="872613329">
          <w:marLeft w:val="0"/>
          <w:marRight w:val="0"/>
          <w:marTop w:val="0"/>
          <w:marBottom w:val="0"/>
          <w:divBdr>
            <w:top w:val="none" w:sz="0" w:space="0" w:color="auto"/>
            <w:left w:val="none" w:sz="0" w:space="0" w:color="auto"/>
            <w:bottom w:val="none" w:sz="0" w:space="0" w:color="auto"/>
            <w:right w:val="none" w:sz="0" w:space="0" w:color="auto"/>
          </w:divBdr>
        </w:div>
        <w:div w:id="550848124">
          <w:marLeft w:val="0"/>
          <w:marRight w:val="0"/>
          <w:marTop w:val="0"/>
          <w:marBottom w:val="0"/>
          <w:divBdr>
            <w:top w:val="none" w:sz="0" w:space="0" w:color="auto"/>
            <w:left w:val="none" w:sz="0" w:space="0" w:color="auto"/>
            <w:bottom w:val="none" w:sz="0" w:space="0" w:color="auto"/>
            <w:right w:val="none" w:sz="0" w:space="0" w:color="auto"/>
          </w:divBdr>
        </w:div>
      </w:divsChild>
    </w:div>
    <w:div w:id="677973125">
      <w:bodyDiv w:val="1"/>
      <w:marLeft w:val="0"/>
      <w:marRight w:val="0"/>
      <w:marTop w:val="0"/>
      <w:marBottom w:val="0"/>
      <w:divBdr>
        <w:top w:val="none" w:sz="0" w:space="0" w:color="auto"/>
        <w:left w:val="none" w:sz="0" w:space="0" w:color="auto"/>
        <w:bottom w:val="none" w:sz="0" w:space="0" w:color="auto"/>
        <w:right w:val="none" w:sz="0" w:space="0" w:color="auto"/>
      </w:divBdr>
    </w:div>
    <w:div w:id="701828611">
      <w:bodyDiv w:val="1"/>
      <w:marLeft w:val="0"/>
      <w:marRight w:val="0"/>
      <w:marTop w:val="0"/>
      <w:marBottom w:val="0"/>
      <w:divBdr>
        <w:top w:val="none" w:sz="0" w:space="0" w:color="auto"/>
        <w:left w:val="none" w:sz="0" w:space="0" w:color="auto"/>
        <w:bottom w:val="none" w:sz="0" w:space="0" w:color="auto"/>
        <w:right w:val="none" w:sz="0" w:space="0" w:color="auto"/>
      </w:divBdr>
      <w:divsChild>
        <w:div w:id="654990066">
          <w:marLeft w:val="0"/>
          <w:marRight w:val="0"/>
          <w:marTop w:val="0"/>
          <w:marBottom w:val="0"/>
          <w:divBdr>
            <w:top w:val="none" w:sz="0" w:space="0" w:color="auto"/>
            <w:left w:val="none" w:sz="0" w:space="0" w:color="auto"/>
            <w:bottom w:val="none" w:sz="0" w:space="0" w:color="auto"/>
            <w:right w:val="none" w:sz="0" w:space="0" w:color="auto"/>
          </w:divBdr>
          <w:divsChild>
            <w:div w:id="1131749779">
              <w:marLeft w:val="3225"/>
              <w:marRight w:val="0"/>
              <w:marTop w:val="0"/>
              <w:marBottom w:val="0"/>
              <w:divBdr>
                <w:top w:val="none" w:sz="0" w:space="0" w:color="auto"/>
                <w:left w:val="none" w:sz="0" w:space="0" w:color="auto"/>
                <w:bottom w:val="none" w:sz="0" w:space="0" w:color="auto"/>
                <w:right w:val="none" w:sz="0" w:space="0" w:color="auto"/>
              </w:divBdr>
              <w:divsChild>
                <w:div w:id="1158769336">
                  <w:marLeft w:val="90"/>
                  <w:marRight w:val="0"/>
                  <w:marTop w:val="0"/>
                  <w:marBottom w:val="0"/>
                  <w:divBdr>
                    <w:top w:val="single" w:sz="6" w:space="0" w:color="EEEEEE"/>
                    <w:left w:val="none" w:sz="0" w:space="0" w:color="auto"/>
                    <w:bottom w:val="none" w:sz="0" w:space="0" w:color="auto"/>
                    <w:right w:val="none" w:sz="0" w:space="0" w:color="auto"/>
                  </w:divBdr>
                  <w:divsChild>
                    <w:div w:id="155342105">
                      <w:marLeft w:val="0"/>
                      <w:marRight w:val="0"/>
                      <w:marTop w:val="0"/>
                      <w:marBottom w:val="0"/>
                      <w:divBdr>
                        <w:top w:val="none" w:sz="0" w:space="0" w:color="auto"/>
                        <w:left w:val="none" w:sz="0" w:space="0" w:color="auto"/>
                        <w:bottom w:val="none" w:sz="0" w:space="0" w:color="auto"/>
                        <w:right w:val="none" w:sz="0" w:space="0" w:color="auto"/>
                      </w:divBdr>
                      <w:divsChild>
                        <w:div w:id="92827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29034645">
      <w:bodyDiv w:val="1"/>
      <w:marLeft w:val="0"/>
      <w:marRight w:val="0"/>
      <w:marTop w:val="0"/>
      <w:marBottom w:val="0"/>
      <w:divBdr>
        <w:top w:val="none" w:sz="0" w:space="0" w:color="auto"/>
        <w:left w:val="none" w:sz="0" w:space="0" w:color="auto"/>
        <w:bottom w:val="none" w:sz="0" w:space="0" w:color="auto"/>
        <w:right w:val="none" w:sz="0" w:space="0" w:color="auto"/>
      </w:divBdr>
      <w:divsChild>
        <w:div w:id="120460442">
          <w:marLeft w:val="0"/>
          <w:marRight w:val="0"/>
          <w:marTop w:val="15"/>
          <w:marBottom w:val="0"/>
          <w:divBdr>
            <w:top w:val="none" w:sz="0" w:space="0" w:color="auto"/>
            <w:left w:val="none" w:sz="0" w:space="0" w:color="auto"/>
            <w:bottom w:val="none" w:sz="0" w:space="0" w:color="auto"/>
            <w:right w:val="none" w:sz="0" w:space="0" w:color="auto"/>
          </w:divBdr>
          <w:divsChild>
            <w:div w:id="2104522914">
              <w:marLeft w:val="0"/>
              <w:marRight w:val="0"/>
              <w:marTop w:val="0"/>
              <w:marBottom w:val="0"/>
              <w:divBdr>
                <w:top w:val="none" w:sz="0" w:space="0" w:color="auto"/>
                <w:left w:val="none" w:sz="0" w:space="0" w:color="auto"/>
                <w:bottom w:val="none" w:sz="0" w:space="0" w:color="auto"/>
                <w:right w:val="none" w:sz="0" w:space="0" w:color="auto"/>
              </w:divBdr>
              <w:divsChild>
                <w:div w:id="42099101">
                  <w:marLeft w:val="0"/>
                  <w:marRight w:val="0"/>
                  <w:marTop w:val="0"/>
                  <w:marBottom w:val="0"/>
                  <w:divBdr>
                    <w:top w:val="none" w:sz="0" w:space="0" w:color="auto"/>
                    <w:left w:val="none" w:sz="0" w:space="0" w:color="auto"/>
                    <w:bottom w:val="none" w:sz="0" w:space="0" w:color="auto"/>
                    <w:right w:val="none" w:sz="0" w:space="0" w:color="auto"/>
                  </w:divBdr>
                </w:div>
                <w:div w:id="43482111">
                  <w:marLeft w:val="0"/>
                  <w:marRight w:val="0"/>
                  <w:marTop w:val="0"/>
                  <w:marBottom w:val="0"/>
                  <w:divBdr>
                    <w:top w:val="none" w:sz="0" w:space="0" w:color="auto"/>
                    <w:left w:val="none" w:sz="0" w:space="0" w:color="auto"/>
                    <w:bottom w:val="none" w:sz="0" w:space="0" w:color="auto"/>
                    <w:right w:val="none" w:sz="0" w:space="0" w:color="auto"/>
                  </w:divBdr>
                </w:div>
                <w:div w:id="48724890">
                  <w:marLeft w:val="0"/>
                  <w:marRight w:val="0"/>
                  <w:marTop w:val="0"/>
                  <w:marBottom w:val="0"/>
                  <w:divBdr>
                    <w:top w:val="none" w:sz="0" w:space="0" w:color="auto"/>
                    <w:left w:val="none" w:sz="0" w:space="0" w:color="auto"/>
                    <w:bottom w:val="none" w:sz="0" w:space="0" w:color="auto"/>
                    <w:right w:val="none" w:sz="0" w:space="0" w:color="auto"/>
                  </w:divBdr>
                </w:div>
                <w:div w:id="116997626">
                  <w:marLeft w:val="0"/>
                  <w:marRight w:val="0"/>
                  <w:marTop w:val="0"/>
                  <w:marBottom w:val="0"/>
                  <w:divBdr>
                    <w:top w:val="none" w:sz="0" w:space="0" w:color="auto"/>
                    <w:left w:val="none" w:sz="0" w:space="0" w:color="auto"/>
                    <w:bottom w:val="none" w:sz="0" w:space="0" w:color="auto"/>
                    <w:right w:val="none" w:sz="0" w:space="0" w:color="auto"/>
                  </w:divBdr>
                </w:div>
                <w:div w:id="193883590">
                  <w:marLeft w:val="0"/>
                  <w:marRight w:val="0"/>
                  <w:marTop w:val="0"/>
                  <w:marBottom w:val="0"/>
                  <w:divBdr>
                    <w:top w:val="none" w:sz="0" w:space="0" w:color="auto"/>
                    <w:left w:val="none" w:sz="0" w:space="0" w:color="auto"/>
                    <w:bottom w:val="none" w:sz="0" w:space="0" w:color="auto"/>
                    <w:right w:val="none" w:sz="0" w:space="0" w:color="auto"/>
                  </w:divBdr>
                </w:div>
                <w:div w:id="203761211">
                  <w:marLeft w:val="0"/>
                  <w:marRight w:val="0"/>
                  <w:marTop w:val="0"/>
                  <w:marBottom w:val="0"/>
                  <w:divBdr>
                    <w:top w:val="none" w:sz="0" w:space="0" w:color="auto"/>
                    <w:left w:val="none" w:sz="0" w:space="0" w:color="auto"/>
                    <w:bottom w:val="none" w:sz="0" w:space="0" w:color="auto"/>
                    <w:right w:val="none" w:sz="0" w:space="0" w:color="auto"/>
                  </w:divBdr>
                </w:div>
                <w:div w:id="260143233">
                  <w:marLeft w:val="0"/>
                  <w:marRight w:val="0"/>
                  <w:marTop w:val="0"/>
                  <w:marBottom w:val="0"/>
                  <w:divBdr>
                    <w:top w:val="none" w:sz="0" w:space="0" w:color="auto"/>
                    <w:left w:val="none" w:sz="0" w:space="0" w:color="auto"/>
                    <w:bottom w:val="none" w:sz="0" w:space="0" w:color="auto"/>
                    <w:right w:val="none" w:sz="0" w:space="0" w:color="auto"/>
                  </w:divBdr>
                </w:div>
                <w:div w:id="335498531">
                  <w:marLeft w:val="0"/>
                  <w:marRight w:val="0"/>
                  <w:marTop w:val="0"/>
                  <w:marBottom w:val="0"/>
                  <w:divBdr>
                    <w:top w:val="none" w:sz="0" w:space="0" w:color="auto"/>
                    <w:left w:val="none" w:sz="0" w:space="0" w:color="auto"/>
                    <w:bottom w:val="none" w:sz="0" w:space="0" w:color="auto"/>
                    <w:right w:val="none" w:sz="0" w:space="0" w:color="auto"/>
                  </w:divBdr>
                </w:div>
                <w:div w:id="349601275">
                  <w:marLeft w:val="0"/>
                  <w:marRight w:val="0"/>
                  <w:marTop w:val="0"/>
                  <w:marBottom w:val="0"/>
                  <w:divBdr>
                    <w:top w:val="none" w:sz="0" w:space="0" w:color="auto"/>
                    <w:left w:val="none" w:sz="0" w:space="0" w:color="auto"/>
                    <w:bottom w:val="none" w:sz="0" w:space="0" w:color="auto"/>
                    <w:right w:val="none" w:sz="0" w:space="0" w:color="auto"/>
                  </w:divBdr>
                </w:div>
                <w:div w:id="402408270">
                  <w:marLeft w:val="0"/>
                  <w:marRight w:val="0"/>
                  <w:marTop w:val="0"/>
                  <w:marBottom w:val="0"/>
                  <w:divBdr>
                    <w:top w:val="none" w:sz="0" w:space="0" w:color="auto"/>
                    <w:left w:val="none" w:sz="0" w:space="0" w:color="auto"/>
                    <w:bottom w:val="none" w:sz="0" w:space="0" w:color="auto"/>
                    <w:right w:val="none" w:sz="0" w:space="0" w:color="auto"/>
                  </w:divBdr>
                </w:div>
                <w:div w:id="410783104">
                  <w:marLeft w:val="0"/>
                  <w:marRight w:val="0"/>
                  <w:marTop w:val="0"/>
                  <w:marBottom w:val="0"/>
                  <w:divBdr>
                    <w:top w:val="none" w:sz="0" w:space="0" w:color="auto"/>
                    <w:left w:val="none" w:sz="0" w:space="0" w:color="auto"/>
                    <w:bottom w:val="none" w:sz="0" w:space="0" w:color="auto"/>
                    <w:right w:val="none" w:sz="0" w:space="0" w:color="auto"/>
                  </w:divBdr>
                </w:div>
                <w:div w:id="446852133">
                  <w:marLeft w:val="0"/>
                  <w:marRight w:val="0"/>
                  <w:marTop w:val="0"/>
                  <w:marBottom w:val="0"/>
                  <w:divBdr>
                    <w:top w:val="none" w:sz="0" w:space="0" w:color="auto"/>
                    <w:left w:val="none" w:sz="0" w:space="0" w:color="auto"/>
                    <w:bottom w:val="none" w:sz="0" w:space="0" w:color="auto"/>
                    <w:right w:val="none" w:sz="0" w:space="0" w:color="auto"/>
                  </w:divBdr>
                </w:div>
                <w:div w:id="465199670">
                  <w:marLeft w:val="0"/>
                  <w:marRight w:val="0"/>
                  <w:marTop w:val="0"/>
                  <w:marBottom w:val="0"/>
                  <w:divBdr>
                    <w:top w:val="none" w:sz="0" w:space="0" w:color="auto"/>
                    <w:left w:val="none" w:sz="0" w:space="0" w:color="auto"/>
                    <w:bottom w:val="none" w:sz="0" w:space="0" w:color="auto"/>
                    <w:right w:val="none" w:sz="0" w:space="0" w:color="auto"/>
                  </w:divBdr>
                </w:div>
                <w:div w:id="614944624">
                  <w:marLeft w:val="0"/>
                  <w:marRight w:val="0"/>
                  <w:marTop w:val="0"/>
                  <w:marBottom w:val="0"/>
                  <w:divBdr>
                    <w:top w:val="none" w:sz="0" w:space="0" w:color="auto"/>
                    <w:left w:val="none" w:sz="0" w:space="0" w:color="auto"/>
                    <w:bottom w:val="none" w:sz="0" w:space="0" w:color="auto"/>
                    <w:right w:val="none" w:sz="0" w:space="0" w:color="auto"/>
                  </w:divBdr>
                </w:div>
                <w:div w:id="627470909">
                  <w:marLeft w:val="0"/>
                  <w:marRight w:val="0"/>
                  <w:marTop w:val="0"/>
                  <w:marBottom w:val="0"/>
                  <w:divBdr>
                    <w:top w:val="none" w:sz="0" w:space="0" w:color="auto"/>
                    <w:left w:val="none" w:sz="0" w:space="0" w:color="auto"/>
                    <w:bottom w:val="none" w:sz="0" w:space="0" w:color="auto"/>
                    <w:right w:val="none" w:sz="0" w:space="0" w:color="auto"/>
                  </w:divBdr>
                </w:div>
                <w:div w:id="686444657">
                  <w:marLeft w:val="0"/>
                  <w:marRight w:val="0"/>
                  <w:marTop w:val="0"/>
                  <w:marBottom w:val="0"/>
                  <w:divBdr>
                    <w:top w:val="none" w:sz="0" w:space="0" w:color="auto"/>
                    <w:left w:val="none" w:sz="0" w:space="0" w:color="auto"/>
                    <w:bottom w:val="none" w:sz="0" w:space="0" w:color="auto"/>
                    <w:right w:val="none" w:sz="0" w:space="0" w:color="auto"/>
                  </w:divBdr>
                </w:div>
                <w:div w:id="699669412">
                  <w:marLeft w:val="0"/>
                  <w:marRight w:val="0"/>
                  <w:marTop w:val="0"/>
                  <w:marBottom w:val="0"/>
                  <w:divBdr>
                    <w:top w:val="none" w:sz="0" w:space="0" w:color="auto"/>
                    <w:left w:val="none" w:sz="0" w:space="0" w:color="auto"/>
                    <w:bottom w:val="none" w:sz="0" w:space="0" w:color="auto"/>
                    <w:right w:val="none" w:sz="0" w:space="0" w:color="auto"/>
                  </w:divBdr>
                </w:div>
                <w:div w:id="756902021">
                  <w:marLeft w:val="0"/>
                  <w:marRight w:val="0"/>
                  <w:marTop w:val="0"/>
                  <w:marBottom w:val="0"/>
                  <w:divBdr>
                    <w:top w:val="none" w:sz="0" w:space="0" w:color="auto"/>
                    <w:left w:val="none" w:sz="0" w:space="0" w:color="auto"/>
                    <w:bottom w:val="none" w:sz="0" w:space="0" w:color="auto"/>
                    <w:right w:val="none" w:sz="0" w:space="0" w:color="auto"/>
                  </w:divBdr>
                </w:div>
                <w:div w:id="760760785">
                  <w:marLeft w:val="0"/>
                  <w:marRight w:val="0"/>
                  <w:marTop w:val="0"/>
                  <w:marBottom w:val="0"/>
                  <w:divBdr>
                    <w:top w:val="none" w:sz="0" w:space="0" w:color="auto"/>
                    <w:left w:val="none" w:sz="0" w:space="0" w:color="auto"/>
                    <w:bottom w:val="none" w:sz="0" w:space="0" w:color="auto"/>
                    <w:right w:val="none" w:sz="0" w:space="0" w:color="auto"/>
                  </w:divBdr>
                </w:div>
                <w:div w:id="765996993">
                  <w:marLeft w:val="0"/>
                  <w:marRight w:val="0"/>
                  <w:marTop w:val="0"/>
                  <w:marBottom w:val="0"/>
                  <w:divBdr>
                    <w:top w:val="none" w:sz="0" w:space="0" w:color="auto"/>
                    <w:left w:val="none" w:sz="0" w:space="0" w:color="auto"/>
                    <w:bottom w:val="none" w:sz="0" w:space="0" w:color="auto"/>
                    <w:right w:val="none" w:sz="0" w:space="0" w:color="auto"/>
                  </w:divBdr>
                </w:div>
                <w:div w:id="770735866">
                  <w:marLeft w:val="0"/>
                  <w:marRight w:val="0"/>
                  <w:marTop w:val="0"/>
                  <w:marBottom w:val="0"/>
                  <w:divBdr>
                    <w:top w:val="none" w:sz="0" w:space="0" w:color="auto"/>
                    <w:left w:val="none" w:sz="0" w:space="0" w:color="auto"/>
                    <w:bottom w:val="none" w:sz="0" w:space="0" w:color="auto"/>
                    <w:right w:val="none" w:sz="0" w:space="0" w:color="auto"/>
                  </w:divBdr>
                </w:div>
                <w:div w:id="844589727">
                  <w:marLeft w:val="0"/>
                  <w:marRight w:val="0"/>
                  <w:marTop w:val="0"/>
                  <w:marBottom w:val="0"/>
                  <w:divBdr>
                    <w:top w:val="none" w:sz="0" w:space="0" w:color="auto"/>
                    <w:left w:val="none" w:sz="0" w:space="0" w:color="auto"/>
                    <w:bottom w:val="none" w:sz="0" w:space="0" w:color="auto"/>
                    <w:right w:val="none" w:sz="0" w:space="0" w:color="auto"/>
                  </w:divBdr>
                </w:div>
                <w:div w:id="860433166">
                  <w:marLeft w:val="0"/>
                  <w:marRight w:val="0"/>
                  <w:marTop w:val="0"/>
                  <w:marBottom w:val="0"/>
                  <w:divBdr>
                    <w:top w:val="none" w:sz="0" w:space="0" w:color="auto"/>
                    <w:left w:val="none" w:sz="0" w:space="0" w:color="auto"/>
                    <w:bottom w:val="none" w:sz="0" w:space="0" w:color="auto"/>
                    <w:right w:val="none" w:sz="0" w:space="0" w:color="auto"/>
                  </w:divBdr>
                </w:div>
                <w:div w:id="861938281">
                  <w:marLeft w:val="0"/>
                  <w:marRight w:val="0"/>
                  <w:marTop w:val="0"/>
                  <w:marBottom w:val="0"/>
                  <w:divBdr>
                    <w:top w:val="none" w:sz="0" w:space="0" w:color="auto"/>
                    <w:left w:val="none" w:sz="0" w:space="0" w:color="auto"/>
                    <w:bottom w:val="none" w:sz="0" w:space="0" w:color="auto"/>
                    <w:right w:val="none" w:sz="0" w:space="0" w:color="auto"/>
                  </w:divBdr>
                </w:div>
                <w:div w:id="917985601">
                  <w:marLeft w:val="0"/>
                  <w:marRight w:val="0"/>
                  <w:marTop w:val="0"/>
                  <w:marBottom w:val="0"/>
                  <w:divBdr>
                    <w:top w:val="none" w:sz="0" w:space="0" w:color="auto"/>
                    <w:left w:val="none" w:sz="0" w:space="0" w:color="auto"/>
                    <w:bottom w:val="none" w:sz="0" w:space="0" w:color="auto"/>
                    <w:right w:val="none" w:sz="0" w:space="0" w:color="auto"/>
                  </w:divBdr>
                </w:div>
                <w:div w:id="978266799">
                  <w:marLeft w:val="0"/>
                  <w:marRight w:val="0"/>
                  <w:marTop w:val="0"/>
                  <w:marBottom w:val="0"/>
                  <w:divBdr>
                    <w:top w:val="none" w:sz="0" w:space="0" w:color="auto"/>
                    <w:left w:val="none" w:sz="0" w:space="0" w:color="auto"/>
                    <w:bottom w:val="none" w:sz="0" w:space="0" w:color="auto"/>
                    <w:right w:val="none" w:sz="0" w:space="0" w:color="auto"/>
                  </w:divBdr>
                </w:div>
                <w:div w:id="1010335560">
                  <w:marLeft w:val="0"/>
                  <w:marRight w:val="0"/>
                  <w:marTop w:val="0"/>
                  <w:marBottom w:val="0"/>
                  <w:divBdr>
                    <w:top w:val="none" w:sz="0" w:space="0" w:color="auto"/>
                    <w:left w:val="none" w:sz="0" w:space="0" w:color="auto"/>
                    <w:bottom w:val="none" w:sz="0" w:space="0" w:color="auto"/>
                    <w:right w:val="none" w:sz="0" w:space="0" w:color="auto"/>
                  </w:divBdr>
                </w:div>
                <w:div w:id="1053507584">
                  <w:marLeft w:val="0"/>
                  <w:marRight w:val="0"/>
                  <w:marTop w:val="0"/>
                  <w:marBottom w:val="0"/>
                  <w:divBdr>
                    <w:top w:val="none" w:sz="0" w:space="0" w:color="auto"/>
                    <w:left w:val="none" w:sz="0" w:space="0" w:color="auto"/>
                    <w:bottom w:val="none" w:sz="0" w:space="0" w:color="auto"/>
                    <w:right w:val="none" w:sz="0" w:space="0" w:color="auto"/>
                  </w:divBdr>
                </w:div>
                <w:div w:id="1060708247">
                  <w:marLeft w:val="0"/>
                  <w:marRight w:val="0"/>
                  <w:marTop w:val="0"/>
                  <w:marBottom w:val="0"/>
                  <w:divBdr>
                    <w:top w:val="none" w:sz="0" w:space="0" w:color="auto"/>
                    <w:left w:val="none" w:sz="0" w:space="0" w:color="auto"/>
                    <w:bottom w:val="none" w:sz="0" w:space="0" w:color="auto"/>
                    <w:right w:val="none" w:sz="0" w:space="0" w:color="auto"/>
                  </w:divBdr>
                </w:div>
                <w:div w:id="1063717601">
                  <w:marLeft w:val="0"/>
                  <w:marRight w:val="0"/>
                  <w:marTop w:val="0"/>
                  <w:marBottom w:val="0"/>
                  <w:divBdr>
                    <w:top w:val="none" w:sz="0" w:space="0" w:color="auto"/>
                    <w:left w:val="none" w:sz="0" w:space="0" w:color="auto"/>
                    <w:bottom w:val="none" w:sz="0" w:space="0" w:color="auto"/>
                    <w:right w:val="none" w:sz="0" w:space="0" w:color="auto"/>
                  </w:divBdr>
                </w:div>
                <w:div w:id="1109856901">
                  <w:marLeft w:val="0"/>
                  <w:marRight w:val="0"/>
                  <w:marTop w:val="0"/>
                  <w:marBottom w:val="0"/>
                  <w:divBdr>
                    <w:top w:val="none" w:sz="0" w:space="0" w:color="auto"/>
                    <w:left w:val="none" w:sz="0" w:space="0" w:color="auto"/>
                    <w:bottom w:val="none" w:sz="0" w:space="0" w:color="auto"/>
                    <w:right w:val="none" w:sz="0" w:space="0" w:color="auto"/>
                  </w:divBdr>
                </w:div>
                <w:div w:id="1116755546">
                  <w:marLeft w:val="0"/>
                  <w:marRight w:val="0"/>
                  <w:marTop w:val="0"/>
                  <w:marBottom w:val="0"/>
                  <w:divBdr>
                    <w:top w:val="none" w:sz="0" w:space="0" w:color="auto"/>
                    <w:left w:val="none" w:sz="0" w:space="0" w:color="auto"/>
                    <w:bottom w:val="none" w:sz="0" w:space="0" w:color="auto"/>
                    <w:right w:val="none" w:sz="0" w:space="0" w:color="auto"/>
                  </w:divBdr>
                </w:div>
                <w:div w:id="1131437879">
                  <w:marLeft w:val="0"/>
                  <w:marRight w:val="0"/>
                  <w:marTop w:val="0"/>
                  <w:marBottom w:val="0"/>
                  <w:divBdr>
                    <w:top w:val="none" w:sz="0" w:space="0" w:color="auto"/>
                    <w:left w:val="none" w:sz="0" w:space="0" w:color="auto"/>
                    <w:bottom w:val="none" w:sz="0" w:space="0" w:color="auto"/>
                    <w:right w:val="none" w:sz="0" w:space="0" w:color="auto"/>
                  </w:divBdr>
                </w:div>
                <w:div w:id="1159034053">
                  <w:marLeft w:val="0"/>
                  <w:marRight w:val="0"/>
                  <w:marTop w:val="0"/>
                  <w:marBottom w:val="0"/>
                  <w:divBdr>
                    <w:top w:val="none" w:sz="0" w:space="0" w:color="auto"/>
                    <w:left w:val="none" w:sz="0" w:space="0" w:color="auto"/>
                    <w:bottom w:val="none" w:sz="0" w:space="0" w:color="auto"/>
                    <w:right w:val="none" w:sz="0" w:space="0" w:color="auto"/>
                  </w:divBdr>
                </w:div>
                <w:div w:id="1199901349">
                  <w:marLeft w:val="0"/>
                  <w:marRight w:val="0"/>
                  <w:marTop w:val="0"/>
                  <w:marBottom w:val="0"/>
                  <w:divBdr>
                    <w:top w:val="none" w:sz="0" w:space="0" w:color="auto"/>
                    <w:left w:val="none" w:sz="0" w:space="0" w:color="auto"/>
                    <w:bottom w:val="none" w:sz="0" w:space="0" w:color="auto"/>
                    <w:right w:val="none" w:sz="0" w:space="0" w:color="auto"/>
                  </w:divBdr>
                </w:div>
                <w:div w:id="1206138848">
                  <w:marLeft w:val="0"/>
                  <w:marRight w:val="0"/>
                  <w:marTop w:val="0"/>
                  <w:marBottom w:val="0"/>
                  <w:divBdr>
                    <w:top w:val="none" w:sz="0" w:space="0" w:color="auto"/>
                    <w:left w:val="none" w:sz="0" w:space="0" w:color="auto"/>
                    <w:bottom w:val="none" w:sz="0" w:space="0" w:color="auto"/>
                    <w:right w:val="none" w:sz="0" w:space="0" w:color="auto"/>
                  </w:divBdr>
                </w:div>
                <w:div w:id="1235772956">
                  <w:marLeft w:val="0"/>
                  <w:marRight w:val="0"/>
                  <w:marTop w:val="0"/>
                  <w:marBottom w:val="0"/>
                  <w:divBdr>
                    <w:top w:val="none" w:sz="0" w:space="0" w:color="auto"/>
                    <w:left w:val="none" w:sz="0" w:space="0" w:color="auto"/>
                    <w:bottom w:val="none" w:sz="0" w:space="0" w:color="auto"/>
                    <w:right w:val="none" w:sz="0" w:space="0" w:color="auto"/>
                  </w:divBdr>
                </w:div>
                <w:div w:id="1250314342">
                  <w:marLeft w:val="0"/>
                  <w:marRight w:val="0"/>
                  <w:marTop w:val="0"/>
                  <w:marBottom w:val="0"/>
                  <w:divBdr>
                    <w:top w:val="none" w:sz="0" w:space="0" w:color="auto"/>
                    <w:left w:val="none" w:sz="0" w:space="0" w:color="auto"/>
                    <w:bottom w:val="none" w:sz="0" w:space="0" w:color="auto"/>
                    <w:right w:val="none" w:sz="0" w:space="0" w:color="auto"/>
                  </w:divBdr>
                </w:div>
                <w:div w:id="1254969551">
                  <w:marLeft w:val="0"/>
                  <w:marRight w:val="0"/>
                  <w:marTop w:val="0"/>
                  <w:marBottom w:val="0"/>
                  <w:divBdr>
                    <w:top w:val="none" w:sz="0" w:space="0" w:color="auto"/>
                    <w:left w:val="none" w:sz="0" w:space="0" w:color="auto"/>
                    <w:bottom w:val="none" w:sz="0" w:space="0" w:color="auto"/>
                    <w:right w:val="none" w:sz="0" w:space="0" w:color="auto"/>
                  </w:divBdr>
                </w:div>
                <w:div w:id="1281910284">
                  <w:marLeft w:val="0"/>
                  <w:marRight w:val="0"/>
                  <w:marTop w:val="0"/>
                  <w:marBottom w:val="0"/>
                  <w:divBdr>
                    <w:top w:val="none" w:sz="0" w:space="0" w:color="auto"/>
                    <w:left w:val="none" w:sz="0" w:space="0" w:color="auto"/>
                    <w:bottom w:val="none" w:sz="0" w:space="0" w:color="auto"/>
                    <w:right w:val="none" w:sz="0" w:space="0" w:color="auto"/>
                  </w:divBdr>
                </w:div>
                <w:div w:id="1347101224">
                  <w:marLeft w:val="0"/>
                  <w:marRight w:val="0"/>
                  <w:marTop w:val="0"/>
                  <w:marBottom w:val="0"/>
                  <w:divBdr>
                    <w:top w:val="none" w:sz="0" w:space="0" w:color="auto"/>
                    <w:left w:val="none" w:sz="0" w:space="0" w:color="auto"/>
                    <w:bottom w:val="none" w:sz="0" w:space="0" w:color="auto"/>
                    <w:right w:val="none" w:sz="0" w:space="0" w:color="auto"/>
                  </w:divBdr>
                </w:div>
                <w:div w:id="1366295428">
                  <w:marLeft w:val="0"/>
                  <w:marRight w:val="0"/>
                  <w:marTop w:val="0"/>
                  <w:marBottom w:val="0"/>
                  <w:divBdr>
                    <w:top w:val="none" w:sz="0" w:space="0" w:color="auto"/>
                    <w:left w:val="none" w:sz="0" w:space="0" w:color="auto"/>
                    <w:bottom w:val="none" w:sz="0" w:space="0" w:color="auto"/>
                    <w:right w:val="none" w:sz="0" w:space="0" w:color="auto"/>
                  </w:divBdr>
                </w:div>
                <w:div w:id="1408111622">
                  <w:marLeft w:val="0"/>
                  <w:marRight w:val="0"/>
                  <w:marTop w:val="0"/>
                  <w:marBottom w:val="0"/>
                  <w:divBdr>
                    <w:top w:val="none" w:sz="0" w:space="0" w:color="auto"/>
                    <w:left w:val="none" w:sz="0" w:space="0" w:color="auto"/>
                    <w:bottom w:val="none" w:sz="0" w:space="0" w:color="auto"/>
                    <w:right w:val="none" w:sz="0" w:space="0" w:color="auto"/>
                  </w:divBdr>
                </w:div>
                <w:div w:id="1418284419">
                  <w:marLeft w:val="0"/>
                  <w:marRight w:val="0"/>
                  <w:marTop w:val="0"/>
                  <w:marBottom w:val="0"/>
                  <w:divBdr>
                    <w:top w:val="none" w:sz="0" w:space="0" w:color="auto"/>
                    <w:left w:val="none" w:sz="0" w:space="0" w:color="auto"/>
                    <w:bottom w:val="none" w:sz="0" w:space="0" w:color="auto"/>
                    <w:right w:val="none" w:sz="0" w:space="0" w:color="auto"/>
                  </w:divBdr>
                </w:div>
                <w:div w:id="1442992532">
                  <w:marLeft w:val="0"/>
                  <w:marRight w:val="0"/>
                  <w:marTop w:val="0"/>
                  <w:marBottom w:val="0"/>
                  <w:divBdr>
                    <w:top w:val="none" w:sz="0" w:space="0" w:color="auto"/>
                    <w:left w:val="none" w:sz="0" w:space="0" w:color="auto"/>
                    <w:bottom w:val="none" w:sz="0" w:space="0" w:color="auto"/>
                    <w:right w:val="none" w:sz="0" w:space="0" w:color="auto"/>
                  </w:divBdr>
                </w:div>
                <w:div w:id="1471366277">
                  <w:marLeft w:val="0"/>
                  <w:marRight w:val="0"/>
                  <w:marTop w:val="0"/>
                  <w:marBottom w:val="0"/>
                  <w:divBdr>
                    <w:top w:val="none" w:sz="0" w:space="0" w:color="auto"/>
                    <w:left w:val="none" w:sz="0" w:space="0" w:color="auto"/>
                    <w:bottom w:val="none" w:sz="0" w:space="0" w:color="auto"/>
                    <w:right w:val="none" w:sz="0" w:space="0" w:color="auto"/>
                  </w:divBdr>
                </w:div>
                <w:div w:id="1521434706">
                  <w:marLeft w:val="0"/>
                  <w:marRight w:val="0"/>
                  <w:marTop w:val="0"/>
                  <w:marBottom w:val="0"/>
                  <w:divBdr>
                    <w:top w:val="none" w:sz="0" w:space="0" w:color="auto"/>
                    <w:left w:val="none" w:sz="0" w:space="0" w:color="auto"/>
                    <w:bottom w:val="none" w:sz="0" w:space="0" w:color="auto"/>
                    <w:right w:val="none" w:sz="0" w:space="0" w:color="auto"/>
                  </w:divBdr>
                </w:div>
                <w:div w:id="1591037357">
                  <w:marLeft w:val="0"/>
                  <w:marRight w:val="0"/>
                  <w:marTop w:val="0"/>
                  <w:marBottom w:val="0"/>
                  <w:divBdr>
                    <w:top w:val="none" w:sz="0" w:space="0" w:color="auto"/>
                    <w:left w:val="none" w:sz="0" w:space="0" w:color="auto"/>
                    <w:bottom w:val="none" w:sz="0" w:space="0" w:color="auto"/>
                    <w:right w:val="none" w:sz="0" w:space="0" w:color="auto"/>
                  </w:divBdr>
                </w:div>
                <w:div w:id="1594439698">
                  <w:marLeft w:val="0"/>
                  <w:marRight w:val="0"/>
                  <w:marTop w:val="0"/>
                  <w:marBottom w:val="0"/>
                  <w:divBdr>
                    <w:top w:val="none" w:sz="0" w:space="0" w:color="auto"/>
                    <w:left w:val="none" w:sz="0" w:space="0" w:color="auto"/>
                    <w:bottom w:val="none" w:sz="0" w:space="0" w:color="auto"/>
                    <w:right w:val="none" w:sz="0" w:space="0" w:color="auto"/>
                  </w:divBdr>
                </w:div>
                <w:div w:id="1597051795">
                  <w:marLeft w:val="0"/>
                  <w:marRight w:val="0"/>
                  <w:marTop w:val="0"/>
                  <w:marBottom w:val="0"/>
                  <w:divBdr>
                    <w:top w:val="none" w:sz="0" w:space="0" w:color="auto"/>
                    <w:left w:val="none" w:sz="0" w:space="0" w:color="auto"/>
                    <w:bottom w:val="none" w:sz="0" w:space="0" w:color="auto"/>
                    <w:right w:val="none" w:sz="0" w:space="0" w:color="auto"/>
                  </w:divBdr>
                </w:div>
                <w:div w:id="1625501884">
                  <w:marLeft w:val="0"/>
                  <w:marRight w:val="0"/>
                  <w:marTop w:val="0"/>
                  <w:marBottom w:val="0"/>
                  <w:divBdr>
                    <w:top w:val="none" w:sz="0" w:space="0" w:color="auto"/>
                    <w:left w:val="none" w:sz="0" w:space="0" w:color="auto"/>
                    <w:bottom w:val="none" w:sz="0" w:space="0" w:color="auto"/>
                    <w:right w:val="none" w:sz="0" w:space="0" w:color="auto"/>
                  </w:divBdr>
                </w:div>
                <w:div w:id="1657414837">
                  <w:marLeft w:val="0"/>
                  <w:marRight w:val="0"/>
                  <w:marTop w:val="0"/>
                  <w:marBottom w:val="0"/>
                  <w:divBdr>
                    <w:top w:val="none" w:sz="0" w:space="0" w:color="auto"/>
                    <w:left w:val="none" w:sz="0" w:space="0" w:color="auto"/>
                    <w:bottom w:val="none" w:sz="0" w:space="0" w:color="auto"/>
                    <w:right w:val="none" w:sz="0" w:space="0" w:color="auto"/>
                  </w:divBdr>
                </w:div>
                <w:div w:id="1658849192">
                  <w:marLeft w:val="0"/>
                  <w:marRight w:val="0"/>
                  <w:marTop w:val="0"/>
                  <w:marBottom w:val="0"/>
                  <w:divBdr>
                    <w:top w:val="none" w:sz="0" w:space="0" w:color="auto"/>
                    <w:left w:val="none" w:sz="0" w:space="0" w:color="auto"/>
                    <w:bottom w:val="none" w:sz="0" w:space="0" w:color="auto"/>
                    <w:right w:val="none" w:sz="0" w:space="0" w:color="auto"/>
                  </w:divBdr>
                </w:div>
                <w:div w:id="1676104293">
                  <w:marLeft w:val="0"/>
                  <w:marRight w:val="0"/>
                  <w:marTop w:val="0"/>
                  <w:marBottom w:val="0"/>
                  <w:divBdr>
                    <w:top w:val="none" w:sz="0" w:space="0" w:color="auto"/>
                    <w:left w:val="none" w:sz="0" w:space="0" w:color="auto"/>
                    <w:bottom w:val="none" w:sz="0" w:space="0" w:color="auto"/>
                    <w:right w:val="none" w:sz="0" w:space="0" w:color="auto"/>
                  </w:divBdr>
                </w:div>
                <w:div w:id="1688483553">
                  <w:marLeft w:val="0"/>
                  <w:marRight w:val="0"/>
                  <w:marTop w:val="0"/>
                  <w:marBottom w:val="0"/>
                  <w:divBdr>
                    <w:top w:val="none" w:sz="0" w:space="0" w:color="auto"/>
                    <w:left w:val="none" w:sz="0" w:space="0" w:color="auto"/>
                    <w:bottom w:val="none" w:sz="0" w:space="0" w:color="auto"/>
                    <w:right w:val="none" w:sz="0" w:space="0" w:color="auto"/>
                  </w:divBdr>
                </w:div>
                <w:div w:id="1740588717">
                  <w:marLeft w:val="0"/>
                  <w:marRight w:val="0"/>
                  <w:marTop w:val="0"/>
                  <w:marBottom w:val="0"/>
                  <w:divBdr>
                    <w:top w:val="none" w:sz="0" w:space="0" w:color="auto"/>
                    <w:left w:val="none" w:sz="0" w:space="0" w:color="auto"/>
                    <w:bottom w:val="none" w:sz="0" w:space="0" w:color="auto"/>
                    <w:right w:val="none" w:sz="0" w:space="0" w:color="auto"/>
                  </w:divBdr>
                </w:div>
                <w:div w:id="1777168849">
                  <w:marLeft w:val="0"/>
                  <w:marRight w:val="0"/>
                  <w:marTop w:val="0"/>
                  <w:marBottom w:val="0"/>
                  <w:divBdr>
                    <w:top w:val="none" w:sz="0" w:space="0" w:color="auto"/>
                    <w:left w:val="none" w:sz="0" w:space="0" w:color="auto"/>
                    <w:bottom w:val="none" w:sz="0" w:space="0" w:color="auto"/>
                    <w:right w:val="none" w:sz="0" w:space="0" w:color="auto"/>
                  </w:divBdr>
                </w:div>
                <w:div w:id="1781414514">
                  <w:marLeft w:val="0"/>
                  <w:marRight w:val="0"/>
                  <w:marTop w:val="0"/>
                  <w:marBottom w:val="0"/>
                  <w:divBdr>
                    <w:top w:val="none" w:sz="0" w:space="0" w:color="auto"/>
                    <w:left w:val="none" w:sz="0" w:space="0" w:color="auto"/>
                    <w:bottom w:val="none" w:sz="0" w:space="0" w:color="auto"/>
                    <w:right w:val="none" w:sz="0" w:space="0" w:color="auto"/>
                  </w:divBdr>
                </w:div>
                <w:div w:id="1804998383">
                  <w:marLeft w:val="0"/>
                  <w:marRight w:val="0"/>
                  <w:marTop w:val="0"/>
                  <w:marBottom w:val="0"/>
                  <w:divBdr>
                    <w:top w:val="none" w:sz="0" w:space="0" w:color="auto"/>
                    <w:left w:val="none" w:sz="0" w:space="0" w:color="auto"/>
                    <w:bottom w:val="none" w:sz="0" w:space="0" w:color="auto"/>
                    <w:right w:val="none" w:sz="0" w:space="0" w:color="auto"/>
                  </w:divBdr>
                </w:div>
                <w:div w:id="1850675180">
                  <w:marLeft w:val="0"/>
                  <w:marRight w:val="0"/>
                  <w:marTop w:val="0"/>
                  <w:marBottom w:val="0"/>
                  <w:divBdr>
                    <w:top w:val="none" w:sz="0" w:space="0" w:color="auto"/>
                    <w:left w:val="none" w:sz="0" w:space="0" w:color="auto"/>
                    <w:bottom w:val="none" w:sz="0" w:space="0" w:color="auto"/>
                    <w:right w:val="none" w:sz="0" w:space="0" w:color="auto"/>
                  </w:divBdr>
                </w:div>
                <w:div w:id="1854298265">
                  <w:marLeft w:val="0"/>
                  <w:marRight w:val="0"/>
                  <w:marTop w:val="0"/>
                  <w:marBottom w:val="0"/>
                  <w:divBdr>
                    <w:top w:val="none" w:sz="0" w:space="0" w:color="auto"/>
                    <w:left w:val="none" w:sz="0" w:space="0" w:color="auto"/>
                    <w:bottom w:val="none" w:sz="0" w:space="0" w:color="auto"/>
                    <w:right w:val="none" w:sz="0" w:space="0" w:color="auto"/>
                  </w:divBdr>
                </w:div>
                <w:div w:id="1887790963">
                  <w:marLeft w:val="0"/>
                  <w:marRight w:val="0"/>
                  <w:marTop w:val="0"/>
                  <w:marBottom w:val="0"/>
                  <w:divBdr>
                    <w:top w:val="none" w:sz="0" w:space="0" w:color="auto"/>
                    <w:left w:val="none" w:sz="0" w:space="0" w:color="auto"/>
                    <w:bottom w:val="none" w:sz="0" w:space="0" w:color="auto"/>
                    <w:right w:val="none" w:sz="0" w:space="0" w:color="auto"/>
                  </w:divBdr>
                </w:div>
                <w:div w:id="1924290733">
                  <w:marLeft w:val="0"/>
                  <w:marRight w:val="0"/>
                  <w:marTop w:val="0"/>
                  <w:marBottom w:val="0"/>
                  <w:divBdr>
                    <w:top w:val="none" w:sz="0" w:space="0" w:color="auto"/>
                    <w:left w:val="none" w:sz="0" w:space="0" w:color="auto"/>
                    <w:bottom w:val="none" w:sz="0" w:space="0" w:color="auto"/>
                    <w:right w:val="none" w:sz="0" w:space="0" w:color="auto"/>
                  </w:divBdr>
                </w:div>
                <w:div w:id="1965846661">
                  <w:marLeft w:val="0"/>
                  <w:marRight w:val="0"/>
                  <w:marTop w:val="0"/>
                  <w:marBottom w:val="0"/>
                  <w:divBdr>
                    <w:top w:val="none" w:sz="0" w:space="0" w:color="auto"/>
                    <w:left w:val="none" w:sz="0" w:space="0" w:color="auto"/>
                    <w:bottom w:val="none" w:sz="0" w:space="0" w:color="auto"/>
                    <w:right w:val="none" w:sz="0" w:space="0" w:color="auto"/>
                  </w:divBdr>
                </w:div>
                <w:div w:id="1974553253">
                  <w:marLeft w:val="0"/>
                  <w:marRight w:val="0"/>
                  <w:marTop w:val="0"/>
                  <w:marBottom w:val="0"/>
                  <w:divBdr>
                    <w:top w:val="none" w:sz="0" w:space="0" w:color="auto"/>
                    <w:left w:val="none" w:sz="0" w:space="0" w:color="auto"/>
                    <w:bottom w:val="none" w:sz="0" w:space="0" w:color="auto"/>
                    <w:right w:val="none" w:sz="0" w:space="0" w:color="auto"/>
                  </w:divBdr>
                </w:div>
                <w:div w:id="2016884546">
                  <w:marLeft w:val="0"/>
                  <w:marRight w:val="0"/>
                  <w:marTop w:val="0"/>
                  <w:marBottom w:val="0"/>
                  <w:divBdr>
                    <w:top w:val="none" w:sz="0" w:space="0" w:color="auto"/>
                    <w:left w:val="none" w:sz="0" w:space="0" w:color="auto"/>
                    <w:bottom w:val="none" w:sz="0" w:space="0" w:color="auto"/>
                    <w:right w:val="none" w:sz="0" w:space="0" w:color="auto"/>
                  </w:divBdr>
                </w:div>
                <w:div w:id="2047101919">
                  <w:marLeft w:val="0"/>
                  <w:marRight w:val="0"/>
                  <w:marTop w:val="0"/>
                  <w:marBottom w:val="0"/>
                  <w:divBdr>
                    <w:top w:val="none" w:sz="0" w:space="0" w:color="auto"/>
                    <w:left w:val="none" w:sz="0" w:space="0" w:color="auto"/>
                    <w:bottom w:val="none" w:sz="0" w:space="0" w:color="auto"/>
                    <w:right w:val="none" w:sz="0" w:space="0" w:color="auto"/>
                  </w:divBdr>
                </w:div>
                <w:div w:id="2064672410">
                  <w:marLeft w:val="0"/>
                  <w:marRight w:val="0"/>
                  <w:marTop w:val="0"/>
                  <w:marBottom w:val="0"/>
                  <w:divBdr>
                    <w:top w:val="none" w:sz="0" w:space="0" w:color="auto"/>
                    <w:left w:val="none" w:sz="0" w:space="0" w:color="auto"/>
                    <w:bottom w:val="none" w:sz="0" w:space="0" w:color="auto"/>
                    <w:right w:val="none" w:sz="0" w:space="0" w:color="auto"/>
                  </w:divBdr>
                </w:div>
                <w:div w:id="2101755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596097">
          <w:marLeft w:val="0"/>
          <w:marRight w:val="0"/>
          <w:marTop w:val="15"/>
          <w:marBottom w:val="0"/>
          <w:divBdr>
            <w:top w:val="none" w:sz="0" w:space="0" w:color="auto"/>
            <w:left w:val="none" w:sz="0" w:space="0" w:color="auto"/>
            <w:bottom w:val="none" w:sz="0" w:space="0" w:color="auto"/>
            <w:right w:val="none" w:sz="0" w:space="0" w:color="auto"/>
          </w:divBdr>
        </w:div>
      </w:divsChild>
    </w:div>
    <w:div w:id="745762340">
      <w:bodyDiv w:val="1"/>
      <w:marLeft w:val="0"/>
      <w:marRight w:val="0"/>
      <w:marTop w:val="0"/>
      <w:marBottom w:val="0"/>
      <w:divBdr>
        <w:top w:val="none" w:sz="0" w:space="0" w:color="auto"/>
        <w:left w:val="none" w:sz="0" w:space="0" w:color="auto"/>
        <w:bottom w:val="none" w:sz="0" w:space="0" w:color="auto"/>
        <w:right w:val="none" w:sz="0" w:space="0" w:color="auto"/>
      </w:divBdr>
      <w:divsChild>
        <w:div w:id="1720863520">
          <w:marLeft w:val="0"/>
          <w:marRight w:val="0"/>
          <w:marTop w:val="0"/>
          <w:marBottom w:val="0"/>
          <w:divBdr>
            <w:top w:val="none" w:sz="0" w:space="0" w:color="auto"/>
            <w:left w:val="none" w:sz="0" w:space="0" w:color="auto"/>
            <w:bottom w:val="none" w:sz="0" w:space="0" w:color="auto"/>
            <w:right w:val="none" w:sz="0" w:space="0" w:color="auto"/>
          </w:divBdr>
          <w:divsChild>
            <w:div w:id="1754081065">
              <w:marLeft w:val="3225"/>
              <w:marRight w:val="0"/>
              <w:marTop w:val="0"/>
              <w:marBottom w:val="0"/>
              <w:divBdr>
                <w:top w:val="none" w:sz="0" w:space="0" w:color="auto"/>
                <w:left w:val="none" w:sz="0" w:space="0" w:color="auto"/>
                <w:bottom w:val="none" w:sz="0" w:space="0" w:color="auto"/>
                <w:right w:val="none" w:sz="0" w:space="0" w:color="auto"/>
              </w:divBdr>
              <w:divsChild>
                <w:div w:id="1403288834">
                  <w:marLeft w:val="90"/>
                  <w:marRight w:val="0"/>
                  <w:marTop w:val="0"/>
                  <w:marBottom w:val="0"/>
                  <w:divBdr>
                    <w:top w:val="single" w:sz="6" w:space="0" w:color="EEEEEE"/>
                    <w:left w:val="none" w:sz="0" w:space="0" w:color="auto"/>
                    <w:bottom w:val="none" w:sz="0" w:space="0" w:color="auto"/>
                    <w:right w:val="none" w:sz="0" w:space="0" w:color="auto"/>
                  </w:divBdr>
                  <w:divsChild>
                    <w:div w:id="2086148854">
                      <w:marLeft w:val="0"/>
                      <w:marRight w:val="0"/>
                      <w:marTop w:val="0"/>
                      <w:marBottom w:val="0"/>
                      <w:divBdr>
                        <w:top w:val="none" w:sz="0" w:space="0" w:color="auto"/>
                        <w:left w:val="none" w:sz="0" w:space="0" w:color="auto"/>
                        <w:bottom w:val="none" w:sz="0" w:space="0" w:color="auto"/>
                        <w:right w:val="none" w:sz="0" w:space="0" w:color="auto"/>
                      </w:divBdr>
                      <w:divsChild>
                        <w:div w:id="32420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7547737">
      <w:bodyDiv w:val="1"/>
      <w:marLeft w:val="0"/>
      <w:marRight w:val="0"/>
      <w:marTop w:val="0"/>
      <w:marBottom w:val="0"/>
      <w:divBdr>
        <w:top w:val="none" w:sz="0" w:space="0" w:color="auto"/>
        <w:left w:val="none" w:sz="0" w:space="0" w:color="auto"/>
        <w:bottom w:val="none" w:sz="0" w:space="0" w:color="auto"/>
        <w:right w:val="none" w:sz="0" w:space="0" w:color="auto"/>
      </w:divBdr>
    </w:div>
    <w:div w:id="838227572">
      <w:bodyDiv w:val="1"/>
      <w:marLeft w:val="0"/>
      <w:marRight w:val="0"/>
      <w:marTop w:val="0"/>
      <w:marBottom w:val="0"/>
      <w:divBdr>
        <w:top w:val="none" w:sz="0" w:space="0" w:color="auto"/>
        <w:left w:val="none" w:sz="0" w:space="0" w:color="auto"/>
        <w:bottom w:val="none" w:sz="0" w:space="0" w:color="auto"/>
        <w:right w:val="none" w:sz="0" w:space="0" w:color="auto"/>
      </w:divBdr>
    </w:div>
    <w:div w:id="853417590">
      <w:bodyDiv w:val="1"/>
      <w:marLeft w:val="0"/>
      <w:marRight w:val="0"/>
      <w:marTop w:val="0"/>
      <w:marBottom w:val="0"/>
      <w:divBdr>
        <w:top w:val="none" w:sz="0" w:space="0" w:color="auto"/>
        <w:left w:val="none" w:sz="0" w:space="0" w:color="auto"/>
        <w:bottom w:val="none" w:sz="0" w:space="0" w:color="auto"/>
        <w:right w:val="none" w:sz="0" w:space="0" w:color="auto"/>
      </w:divBdr>
    </w:div>
    <w:div w:id="986713493">
      <w:bodyDiv w:val="1"/>
      <w:marLeft w:val="0"/>
      <w:marRight w:val="0"/>
      <w:marTop w:val="0"/>
      <w:marBottom w:val="0"/>
      <w:divBdr>
        <w:top w:val="none" w:sz="0" w:space="0" w:color="auto"/>
        <w:left w:val="none" w:sz="0" w:space="0" w:color="auto"/>
        <w:bottom w:val="none" w:sz="0" w:space="0" w:color="auto"/>
        <w:right w:val="none" w:sz="0" w:space="0" w:color="auto"/>
      </w:divBdr>
      <w:divsChild>
        <w:div w:id="455099738">
          <w:marLeft w:val="2550"/>
          <w:marRight w:val="0"/>
          <w:marTop w:val="0"/>
          <w:marBottom w:val="0"/>
          <w:divBdr>
            <w:top w:val="none" w:sz="0" w:space="0" w:color="auto"/>
            <w:left w:val="none" w:sz="0" w:space="0" w:color="auto"/>
            <w:bottom w:val="none" w:sz="0" w:space="0" w:color="auto"/>
            <w:right w:val="none" w:sz="0" w:space="0" w:color="auto"/>
          </w:divBdr>
        </w:div>
      </w:divsChild>
    </w:div>
    <w:div w:id="991522435">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
          <w:marLeft w:val="2550"/>
          <w:marRight w:val="0"/>
          <w:marTop w:val="0"/>
          <w:marBottom w:val="0"/>
          <w:divBdr>
            <w:top w:val="none" w:sz="0" w:space="0" w:color="auto"/>
            <w:left w:val="none" w:sz="0" w:space="0" w:color="auto"/>
            <w:bottom w:val="none" w:sz="0" w:space="0" w:color="auto"/>
            <w:right w:val="none" w:sz="0" w:space="0" w:color="auto"/>
          </w:divBdr>
        </w:div>
      </w:divsChild>
    </w:div>
    <w:div w:id="996154834">
      <w:bodyDiv w:val="1"/>
      <w:marLeft w:val="0"/>
      <w:marRight w:val="0"/>
      <w:marTop w:val="0"/>
      <w:marBottom w:val="0"/>
      <w:divBdr>
        <w:top w:val="none" w:sz="0" w:space="0" w:color="auto"/>
        <w:left w:val="none" w:sz="0" w:space="0" w:color="auto"/>
        <w:bottom w:val="none" w:sz="0" w:space="0" w:color="auto"/>
        <w:right w:val="none" w:sz="0" w:space="0" w:color="auto"/>
      </w:divBdr>
      <w:divsChild>
        <w:div w:id="594435053">
          <w:marLeft w:val="0"/>
          <w:marRight w:val="0"/>
          <w:marTop w:val="0"/>
          <w:marBottom w:val="0"/>
          <w:divBdr>
            <w:top w:val="none" w:sz="0" w:space="0" w:color="auto"/>
            <w:left w:val="none" w:sz="0" w:space="0" w:color="auto"/>
            <w:bottom w:val="none" w:sz="0" w:space="0" w:color="auto"/>
            <w:right w:val="none" w:sz="0" w:space="0" w:color="auto"/>
          </w:divBdr>
        </w:div>
        <w:div w:id="690257303">
          <w:marLeft w:val="0"/>
          <w:marRight w:val="0"/>
          <w:marTop w:val="0"/>
          <w:marBottom w:val="0"/>
          <w:divBdr>
            <w:top w:val="none" w:sz="0" w:space="0" w:color="auto"/>
            <w:left w:val="none" w:sz="0" w:space="0" w:color="auto"/>
            <w:bottom w:val="none" w:sz="0" w:space="0" w:color="auto"/>
            <w:right w:val="none" w:sz="0" w:space="0" w:color="auto"/>
          </w:divBdr>
        </w:div>
        <w:div w:id="1214850032">
          <w:marLeft w:val="0"/>
          <w:marRight w:val="0"/>
          <w:marTop w:val="0"/>
          <w:marBottom w:val="0"/>
          <w:divBdr>
            <w:top w:val="none" w:sz="0" w:space="0" w:color="auto"/>
            <w:left w:val="none" w:sz="0" w:space="0" w:color="auto"/>
            <w:bottom w:val="none" w:sz="0" w:space="0" w:color="auto"/>
            <w:right w:val="none" w:sz="0" w:space="0" w:color="auto"/>
          </w:divBdr>
        </w:div>
      </w:divsChild>
    </w:div>
    <w:div w:id="1058626517">
      <w:bodyDiv w:val="1"/>
      <w:marLeft w:val="0"/>
      <w:marRight w:val="0"/>
      <w:marTop w:val="0"/>
      <w:marBottom w:val="0"/>
      <w:divBdr>
        <w:top w:val="none" w:sz="0" w:space="0" w:color="auto"/>
        <w:left w:val="none" w:sz="0" w:space="0" w:color="auto"/>
        <w:bottom w:val="none" w:sz="0" w:space="0" w:color="auto"/>
        <w:right w:val="none" w:sz="0" w:space="0" w:color="auto"/>
      </w:divBdr>
    </w:div>
    <w:div w:id="1071661175">
      <w:bodyDiv w:val="1"/>
      <w:marLeft w:val="0"/>
      <w:marRight w:val="0"/>
      <w:marTop w:val="0"/>
      <w:marBottom w:val="0"/>
      <w:divBdr>
        <w:top w:val="none" w:sz="0" w:space="0" w:color="auto"/>
        <w:left w:val="none" w:sz="0" w:space="0" w:color="auto"/>
        <w:bottom w:val="none" w:sz="0" w:space="0" w:color="auto"/>
        <w:right w:val="none" w:sz="0" w:space="0" w:color="auto"/>
      </w:divBdr>
    </w:div>
    <w:div w:id="1076364751">
      <w:bodyDiv w:val="1"/>
      <w:marLeft w:val="0"/>
      <w:marRight w:val="0"/>
      <w:marTop w:val="0"/>
      <w:marBottom w:val="0"/>
      <w:divBdr>
        <w:top w:val="none" w:sz="0" w:space="0" w:color="auto"/>
        <w:left w:val="none" w:sz="0" w:space="0" w:color="auto"/>
        <w:bottom w:val="none" w:sz="0" w:space="0" w:color="auto"/>
        <w:right w:val="none" w:sz="0" w:space="0" w:color="auto"/>
      </w:divBdr>
      <w:divsChild>
        <w:div w:id="19011387">
          <w:marLeft w:val="0"/>
          <w:marRight w:val="0"/>
          <w:marTop w:val="0"/>
          <w:marBottom w:val="0"/>
          <w:divBdr>
            <w:top w:val="none" w:sz="0" w:space="0" w:color="auto"/>
            <w:left w:val="none" w:sz="0" w:space="0" w:color="auto"/>
            <w:bottom w:val="none" w:sz="0" w:space="0" w:color="auto"/>
            <w:right w:val="none" w:sz="0" w:space="0" w:color="auto"/>
          </w:divBdr>
        </w:div>
        <w:div w:id="309360351">
          <w:marLeft w:val="0"/>
          <w:marRight w:val="0"/>
          <w:marTop w:val="0"/>
          <w:marBottom w:val="0"/>
          <w:divBdr>
            <w:top w:val="none" w:sz="0" w:space="0" w:color="auto"/>
            <w:left w:val="none" w:sz="0" w:space="0" w:color="auto"/>
            <w:bottom w:val="none" w:sz="0" w:space="0" w:color="auto"/>
            <w:right w:val="none" w:sz="0" w:space="0" w:color="auto"/>
          </w:divBdr>
        </w:div>
        <w:div w:id="341901662">
          <w:marLeft w:val="0"/>
          <w:marRight w:val="0"/>
          <w:marTop w:val="0"/>
          <w:marBottom w:val="0"/>
          <w:divBdr>
            <w:top w:val="none" w:sz="0" w:space="0" w:color="auto"/>
            <w:left w:val="none" w:sz="0" w:space="0" w:color="auto"/>
            <w:bottom w:val="none" w:sz="0" w:space="0" w:color="auto"/>
            <w:right w:val="none" w:sz="0" w:space="0" w:color="auto"/>
          </w:divBdr>
        </w:div>
        <w:div w:id="412701961">
          <w:marLeft w:val="0"/>
          <w:marRight w:val="0"/>
          <w:marTop w:val="0"/>
          <w:marBottom w:val="0"/>
          <w:divBdr>
            <w:top w:val="none" w:sz="0" w:space="0" w:color="auto"/>
            <w:left w:val="none" w:sz="0" w:space="0" w:color="auto"/>
            <w:bottom w:val="none" w:sz="0" w:space="0" w:color="auto"/>
            <w:right w:val="none" w:sz="0" w:space="0" w:color="auto"/>
          </w:divBdr>
        </w:div>
        <w:div w:id="450056740">
          <w:marLeft w:val="0"/>
          <w:marRight w:val="0"/>
          <w:marTop w:val="0"/>
          <w:marBottom w:val="0"/>
          <w:divBdr>
            <w:top w:val="none" w:sz="0" w:space="0" w:color="auto"/>
            <w:left w:val="none" w:sz="0" w:space="0" w:color="auto"/>
            <w:bottom w:val="none" w:sz="0" w:space="0" w:color="auto"/>
            <w:right w:val="none" w:sz="0" w:space="0" w:color="auto"/>
          </w:divBdr>
        </w:div>
        <w:div w:id="841043440">
          <w:marLeft w:val="0"/>
          <w:marRight w:val="0"/>
          <w:marTop w:val="0"/>
          <w:marBottom w:val="0"/>
          <w:divBdr>
            <w:top w:val="none" w:sz="0" w:space="0" w:color="auto"/>
            <w:left w:val="none" w:sz="0" w:space="0" w:color="auto"/>
            <w:bottom w:val="none" w:sz="0" w:space="0" w:color="auto"/>
            <w:right w:val="none" w:sz="0" w:space="0" w:color="auto"/>
          </w:divBdr>
        </w:div>
        <w:div w:id="864634426">
          <w:marLeft w:val="0"/>
          <w:marRight w:val="0"/>
          <w:marTop w:val="0"/>
          <w:marBottom w:val="0"/>
          <w:divBdr>
            <w:top w:val="none" w:sz="0" w:space="0" w:color="auto"/>
            <w:left w:val="none" w:sz="0" w:space="0" w:color="auto"/>
            <w:bottom w:val="none" w:sz="0" w:space="0" w:color="auto"/>
            <w:right w:val="none" w:sz="0" w:space="0" w:color="auto"/>
          </w:divBdr>
        </w:div>
        <w:div w:id="1108424708">
          <w:marLeft w:val="0"/>
          <w:marRight w:val="0"/>
          <w:marTop w:val="0"/>
          <w:marBottom w:val="0"/>
          <w:divBdr>
            <w:top w:val="none" w:sz="0" w:space="0" w:color="auto"/>
            <w:left w:val="none" w:sz="0" w:space="0" w:color="auto"/>
            <w:bottom w:val="none" w:sz="0" w:space="0" w:color="auto"/>
            <w:right w:val="none" w:sz="0" w:space="0" w:color="auto"/>
          </w:divBdr>
        </w:div>
        <w:div w:id="1112362517">
          <w:marLeft w:val="0"/>
          <w:marRight w:val="0"/>
          <w:marTop w:val="0"/>
          <w:marBottom w:val="0"/>
          <w:divBdr>
            <w:top w:val="none" w:sz="0" w:space="0" w:color="auto"/>
            <w:left w:val="none" w:sz="0" w:space="0" w:color="auto"/>
            <w:bottom w:val="none" w:sz="0" w:space="0" w:color="auto"/>
            <w:right w:val="none" w:sz="0" w:space="0" w:color="auto"/>
          </w:divBdr>
        </w:div>
        <w:div w:id="1142696589">
          <w:marLeft w:val="0"/>
          <w:marRight w:val="0"/>
          <w:marTop w:val="0"/>
          <w:marBottom w:val="0"/>
          <w:divBdr>
            <w:top w:val="none" w:sz="0" w:space="0" w:color="auto"/>
            <w:left w:val="none" w:sz="0" w:space="0" w:color="auto"/>
            <w:bottom w:val="none" w:sz="0" w:space="0" w:color="auto"/>
            <w:right w:val="none" w:sz="0" w:space="0" w:color="auto"/>
          </w:divBdr>
        </w:div>
        <w:div w:id="1348021770">
          <w:marLeft w:val="0"/>
          <w:marRight w:val="0"/>
          <w:marTop w:val="0"/>
          <w:marBottom w:val="0"/>
          <w:divBdr>
            <w:top w:val="none" w:sz="0" w:space="0" w:color="auto"/>
            <w:left w:val="none" w:sz="0" w:space="0" w:color="auto"/>
            <w:bottom w:val="none" w:sz="0" w:space="0" w:color="auto"/>
            <w:right w:val="none" w:sz="0" w:space="0" w:color="auto"/>
          </w:divBdr>
        </w:div>
        <w:div w:id="1359620974">
          <w:marLeft w:val="0"/>
          <w:marRight w:val="0"/>
          <w:marTop w:val="0"/>
          <w:marBottom w:val="0"/>
          <w:divBdr>
            <w:top w:val="none" w:sz="0" w:space="0" w:color="auto"/>
            <w:left w:val="none" w:sz="0" w:space="0" w:color="auto"/>
            <w:bottom w:val="none" w:sz="0" w:space="0" w:color="auto"/>
            <w:right w:val="none" w:sz="0" w:space="0" w:color="auto"/>
          </w:divBdr>
        </w:div>
        <w:div w:id="1826050551">
          <w:marLeft w:val="0"/>
          <w:marRight w:val="0"/>
          <w:marTop w:val="0"/>
          <w:marBottom w:val="0"/>
          <w:divBdr>
            <w:top w:val="none" w:sz="0" w:space="0" w:color="auto"/>
            <w:left w:val="none" w:sz="0" w:space="0" w:color="auto"/>
            <w:bottom w:val="none" w:sz="0" w:space="0" w:color="auto"/>
            <w:right w:val="none" w:sz="0" w:space="0" w:color="auto"/>
          </w:divBdr>
        </w:div>
        <w:div w:id="1941334559">
          <w:marLeft w:val="0"/>
          <w:marRight w:val="0"/>
          <w:marTop w:val="0"/>
          <w:marBottom w:val="0"/>
          <w:divBdr>
            <w:top w:val="none" w:sz="0" w:space="0" w:color="auto"/>
            <w:left w:val="none" w:sz="0" w:space="0" w:color="auto"/>
            <w:bottom w:val="none" w:sz="0" w:space="0" w:color="auto"/>
            <w:right w:val="none" w:sz="0" w:space="0" w:color="auto"/>
          </w:divBdr>
        </w:div>
        <w:div w:id="2108227926">
          <w:marLeft w:val="0"/>
          <w:marRight w:val="0"/>
          <w:marTop w:val="0"/>
          <w:marBottom w:val="0"/>
          <w:divBdr>
            <w:top w:val="none" w:sz="0" w:space="0" w:color="auto"/>
            <w:left w:val="none" w:sz="0" w:space="0" w:color="auto"/>
            <w:bottom w:val="none" w:sz="0" w:space="0" w:color="auto"/>
            <w:right w:val="none" w:sz="0" w:space="0" w:color="auto"/>
          </w:divBdr>
        </w:div>
      </w:divsChild>
    </w:div>
    <w:div w:id="1125390947">
      <w:bodyDiv w:val="1"/>
      <w:marLeft w:val="0"/>
      <w:marRight w:val="0"/>
      <w:marTop w:val="0"/>
      <w:marBottom w:val="0"/>
      <w:divBdr>
        <w:top w:val="none" w:sz="0" w:space="0" w:color="auto"/>
        <w:left w:val="none" w:sz="0" w:space="0" w:color="auto"/>
        <w:bottom w:val="none" w:sz="0" w:space="0" w:color="auto"/>
        <w:right w:val="none" w:sz="0" w:space="0" w:color="auto"/>
      </w:divBdr>
    </w:div>
    <w:div w:id="1150440402">
      <w:bodyDiv w:val="1"/>
      <w:marLeft w:val="0"/>
      <w:marRight w:val="0"/>
      <w:marTop w:val="0"/>
      <w:marBottom w:val="0"/>
      <w:divBdr>
        <w:top w:val="none" w:sz="0" w:space="0" w:color="auto"/>
        <w:left w:val="none" w:sz="0" w:space="0" w:color="auto"/>
        <w:bottom w:val="none" w:sz="0" w:space="0" w:color="auto"/>
        <w:right w:val="none" w:sz="0" w:space="0" w:color="auto"/>
      </w:divBdr>
      <w:divsChild>
        <w:div w:id="1486431107">
          <w:marLeft w:val="0"/>
          <w:marRight w:val="0"/>
          <w:marTop w:val="15"/>
          <w:marBottom w:val="0"/>
          <w:divBdr>
            <w:top w:val="none" w:sz="0" w:space="0" w:color="auto"/>
            <w:left w:val="none" w:sz="0" w:space="0" w:color="auto"/>
            <w:bottom w:val="none" w:sz="0" w:space="0" w:color="auto"/>
            <w:right w:val="none" w:sz="0" w:space="0" w:color="auto"/>
          </w:divBdr>
          <w:divsChild>
            <w:div w:id="2056924312">
              <w:marLeft w:val="0"/>
              <w:marRight w:val="0"/>
              <w:marTop w:val="0"/>
              <w:marBottom w:val="0"/>
              <w:divBdr>
                <w:top w:val="none" w:sz="0" w:space="0" w:color="auto"/>
                <w:left w:val="none" w:sz="0" w:space="0" w:color="auto"/>
                <w:bottom w:val="none" w:sz="0" w:space="0" w:color="auto"/>
                <w:right w:val="none" w:sz="0" w:space="0" w:color="auto"/>
              </w:divBdr>
              <w:divsChild>
                <w:div w:id="13769985">
                  <w:marLeft w:val="0"/>
                  <w:marRight w:val="0"/>
                  <w:marTop w:val="0"/>
                  <w:marBottom w:val="0"/>
                  <w:divBdr>
                    <w:top w:val="none" w:sz="0" w:space="0" w:color="auto"/>
                    <w:left w:val="none" w:sz="0" w:space="0" w:color="auto"/>
                    <w:bottom w:val="none" w:sz="0" w:space="0" w:color="auto"/>
                    <w:right w:val="none" w:sz="0" w:space="0" w:color="auto"/>
                  </w:divBdr>
                </w:div>
                <w:div w:id="62460358">
                  <w:marLeft w:val="0"/>
                  <w:marRight w:val="0"/>
                  <w:marTop w:val="0"/>
                  <w:marBottom w:val="0"/>
                  <w:divBdr>
                    <w:top w:val="none" w:sz="0" w:space="0" w:color="auto"/>
                    <w:left w:val="none" w:sz="0" w:space="0" w:color="auto"/>
                    <w:bottom w:val="none" w:sz="0" w:space="0" w:color="auto"/>
                    <w:right w:val="none" w:sz="0" w:space="0" w:color="auto"/>
                  </w:divBdr>
                </w:div>
                <w:div w:id="1363046902">
                  <w:marLeft w:val="0"/>
                  <w:marRight w:val="0"/>
                  <w:marTop w:val="0"/>
                  <w:marBottom w:val="0"/>
                  <w:divBdr>
                    <w:top w:val="none" w:sz="0" w:space="0" w:color="auto"/>
                    <w:left w:val="none" w:sz="0" w:space="0" w:color="auto"/>
                    <w:bottom w:val="none" w:sz="0" w:space="0" w:color="auto"/>
                    <w:right w:val="none" w:sz="0" w:space="0" w:color="auto"/>
                  </w:divBdr>
                </w:div>
                <w:div w:id="1879590003">
                  <w:marLeft w:val="0"/>
                  <w:marRight w:val="0"/>
                  <w:marTop w:val="0"/>
                  <w:marBottom w:val="0"/>
                  <w:divBdr>
                    <w:top w:val="none" w:sz="0" w:space="0" w:color="auto"/>
                    <w:left w:val="none" w:sz="0" w:space="0" w:color="auto"/>
                    <w:bottom w:val="none" w:sz="0" w:space="0" w:color="auto"/>
                    <w:right w:val="none" w:sz="0" w:space="0" w:color="auto"/>
                  </w:divBdr>
                </w:div>
                <w:div w:id="2002150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590099">
          <w:marLeft w:val="0"/>
          <w:marRight w:val="0"/>
          <w:marTop w:val="15"/>
          <w:marBottom w:val="0"/>
          <w:divBdr>
            <w:top w:val="none" w:sz="0" w:space="0" w:color="auto"/>
            <w:left w:val="none" w:sz="0" w:space="0" w:color="auto"/>
            <w:bottom w:val="none" w:sz="0" w:space="0" w:color="auto"/>
            <w:right w:val="none" w:sz="0" w:space="0" w:color="auto"/>
          </w:divBdr>
        </w:div>
      </w:divsChild>
    </w:div>
    <w:div w:id="1158887044">
      <w:bodyDiv w:val="1"/>
      <w:marLeft w:val="0"/>
      <w:marRight w:val="0"/>
      <w:marTop w:val="0"/>
      <w:marBottom w:val="0"/>
      <w:divBdr>
        <w:top w:val="none" w:sz="0" w:space="0" w:color="auto"/>
        <w:left w:val="none" w:sz="0" w:space="0" w:color="auto"/>
        <w:bottom w:val="none" w:sz="0" w:space="0" w:color="auto"/>
        <w:right w:val="none" w:sz="0" w:space="0" w:color="auto"/>
      </w:divBdr>
      <w:divsChild>
        <w:div w:id="70733398">
          <w:marLeft w:val="0"/>
          <w:marRight w:val="0"/>
          <w:marTop w:val="0"/>
          <w:marBottom w:val="0"/>
          <w:divBdr>
            <w:top w:val="none" w:sz="0" w:space="0" w:color="auto"/>
            <w:left w:val="none" w:sz="0" w:space="0" w:color="auto"/>
            <w:bottom w:val="none" w:sz="0" w:space="0" w:color="auto"/>
            <w:right w:val="none" w:sz="0" w:space="0" w:color="auto"/>
          </w:divBdr>
        </w:div>
        <w:div w:id="89084414">
          <w:marLeft w:val="0"/>
          <w:marRight w:val="0"/>
          <w:marTop w:val="0"/>
          <w:marBottom w:val="0"/>
          <w:divBdr>
            <w:top w:val="none" w:sz="0" w:space="0" w:color="auto"/>
            <w:left w:val="none" w:sz="0" w:space="0" w:color="auto"/>
            <w:bottom w:val="none" w:sz="0" w:space="0" w:color="auto"/>
            <w:right w:val="none" w:sz="0" w:space="0" w:color="auto"/>
          </w:divBdr>
        </w:div>
        <w:div w:id="129708836">
          <w:marLeft w:val="0"/>
          <w:marRight w:val="0"/>
          <w:marTop w:val="0"/>
          <w:marBottom w:val="0"/>
          <w:divBdr>
            <w:top w:val="none" w:sz="0" w:space="0" w:color="auto"/>
            <w:left w:val="none" w:sz="0" w:space="0" w:color="auto"/>
            <w:bottom w:val="none" w:sz="0" w:space="0" w:color="auto"/>
            <w:right w:val="none" w:sz="0" w:space="0" w:color="auto"/>
          </w:divBdr>
        </w:div>
        <w:div w:id="162279275">
          <w:marLeft w:val="0"/>
          <w:marRight w:val="0"/>
          <w:marTop w:val="0"/>
          <w:marBottom w:val="0"/>
          <w:divBdr>
            <w:top w:val="none" w:sz="0" w:space="0" w:color="auto"/>
            <w:left w:val="none" w:sz="0" w:space="0" w:color="auto"/>
            <w:bottom w:val="none" w:sz="0" w:space="0" w:color="auto"/>
            <w:right w:val="none" w:sz="0" w:space="0" w:color="auto"/>
          </w:divBdr>
        </w:div>
        <w:div w:id="173542967">
          <w:marLeft w:val="0"/>
          <w:marRight w:val="0"/>
          <w:marTop w:val="0"/>
          <w:marBottom w:val="0"/>
          <w:divBdr>
            <w:top w:val="none" w:sz="0" w:space="0" w:color="auto"/>
            <w:left w:val="none" w:sz="0" w:space="0" w:color="auto"/>
            <w:bottom w:val="none" w:sz="0" w:space="0" w:color="auto"/>
            <w:right w:val="none" w:sz="0" w:space="0" w:color="auto"/>
          </w:divBdr>
        </w:div>
        <w:div w:id="211232891">
          <w:marLeft w:val="0"/>
          <w:marRight w:val="0"/>
          <w:marTop w:val="0"/>
          <w:marBottom w:val="0"/>
          <w:divBdr>
            <w:top w:val="none" w:sz="0" w:space="0" w:color="auto"/>
            <w:left w:val="none" w:sz="0" w:space="0" w:color="auto"/>
            <w:bottom w:val="none" w:sz="0" w:space="0" w:color="auto"/>
            <w:right w:val="none" w:sz="0" w:space="0" w:color="auto"/>
          </w:divBdr>
        </w:div>
        <w:div w:id="302085311">
          <w:marLeft w:val="0"/>
          <w:marRight w:val="0"/>
          <w:marTop w:val="0"/>
          <w:marBottom w:val="0"/>
          <w:divBdr>
            <w:top w:val="none" w:sz="0" w:space="0" w:color="auto"/>
            <w:left w:val="none" w:sz="0" w:space="0" w:color="auto"/>
            <w:bottom w:val="none" w:sz="0" w:space="0" w:color="auto"/>
            <w:right w:val="none" w:sz="0" w:space="0" w:color="auto"/>
          </w:divBdr>
        </w:div>
        <w:div w:id="315064091">
          <w:marLeft w:val="0"/>
          <w:marRight w:val="0"/>
          <w:marTop w:val="0"/>
          <w:marBottom w:val="0"/>
          <w:divBdr>
            <w:top w:val="none" w:sz="0" w:space="0" w:color="auto"/>
            <w:left w:val="none" w:sz="0" w:space="0" w:color="auto"/>
            <w:bottom w:val="none" w:sz="0" w:space="0" w:color="auto"/>
            <w:right w:val="none" w:sz="0" w:space="0" w:color="auto"/>
          </w:divBdr>
        </w:div>
        <w:div w:id="335616252">
          <w:marLeft w:val="0"/>
          <w:marRight w:val="0"/>
          <w:marTop w:val="0"/>
          <w:marBottom w:val="0"/>
          <w:divBdr>
            <w:top w:val="none" w:sz="0" w:space="0" w:color="auto"/>
            <w:left w:val="none" w:sz="0" w:space="0" w:color="auto"/>
            <w:bottom w:val="none" w:sz="0" w:space="0" w:color="auto"/>
            <w:right w:val="none" w:sz="0" w:space="0" w:color="auto"/>
          </w:divBdr>
        </w:div>
        <w:div w:id="364213597">
          <w:marLeft w:val="0"/>
          <w:marRight w:val="0"/>
          <w:marTop w:val="0"/>
          <w:marBottom w:val="0"/>
          <w:divBdr>
            <w:top w:val="none" w:sz="0" w:space="0" w:color="auto"/>
            <w:left w:val="none" w:sz="0" w:space="0" w:color="auto"/>
            <w:bottom w:val="none" w:sz="0" w:space="0" w:color="auto"/>
            <w:right w:val="none" w:sz="0" w:space="0" w:color="auto"/>
          </w:divBdr>
        </w:div>
        <w:div w:id="755131537">
          <w:marLeft w:val="0"/>
          <w:marRight w:val="0"/>
          <w:marTop w:val="0"/>
          <w:marBottom w:val="0"/>
          <w:divBdr>
            <w:top w:val="none" w:sz="0" w:space="0" w:color="auto"/>
            <w:left w:val="none" w:sz="0" w:space="0" w:color="auto"/>
            <w:bottom w:val="none" w:sz="0" w:space="0" w:color="auto"/>
            <w:right w:val="none" w:sz="0" w:space="0" w:color="auto"/>
          </w:divBdr>
        </w:div>
        <w:div w:id="835799665">
          <w:marLeft w:val="0"/>
          <w:marRight w:val="0"/>
          <w:marTop w:val="0"/>
          <w:marBottom w:val="0"/>
          <w:divBdr>
            <w:top w:val="none" w:sz="0" w:space="0" w:color="auto"/>
            <w:left w:val="none" w:sz="0" w:space="0" w:color="auto"/>
            <w:bottom w:val="none" w:sz="0" w:space="0" w:color="auto"/>
            <w:right w:val="none" w:sz="0" w:space="0" w:color="auto"/>
          </w:divBdr>
        </w:div>
        <w:div w:id="854609624">
          <w:marLeft w:val="0"/>
          <w:marRight w:val="0"/>
          <w:marTop w:val="0"/>
          <w:marBottom w:val="0"/>
          <w:divBdr>
            <w:top w:val="none" w:sz="0" w:space="0" w:color="auto"/>
            <w:left w:val="none" w:sz="0" w:space="0" w:color="auto"/>
            <w:bottom w:val="none" w:sz="0" w:space="0" w:color="auto"/>
            <w:right w:val="none" w:sz="0" w:space="0" w:color="auto"/>
          </w:divBdr>
        </w:div>
        <w:div w:id="893154773">
          <w:marLeft w:val="0"/>
          <w:marRight w:val="0"/>
          <w:marTop w:val="0"/>
          <w:marBottom w:val="0"/>
          <w:divBdr>
            <w:top w:val="none" w:sz="0" w:space="0" w:color="auto"/>
            <w:left w:val="none" w:sz="0" w:space="0" w:color="auto"/>
            <w:bottom w:val="none" w:sz="0" w:space="0" w:color="auto"/>
            <w:right w:val="none" w:sz="0" w:space="0" w:color="auto"/>
          </w:divBdr>
        </w:div>
        <w:div w:id="1006397774">
          <w:marLeft w:val="0"/>
          <w:marRight w:val="0"/>
          <w:marTop w:val="0"/>
          <w:marBottom w:val="0"/>
          <w:divBdr>
            <w:top w:val="none" w:sz="0" w:space="0" w:color="auto"/>
            <w:left w:val="none" w:sz="0" w:space="0" w:color="auto"/>
            <w:bottom w:val="none" w:sz="0" w:space="0" w:color="auto"/>
            <w:right w:val="none" w:sz="0" w:space="0" w:color="auto"/>
          </w:divBdr>
        </w:div>
        <w:div w:id="1198590683">
          <w:marLeft w:val="0"/>
          <w:marRight w:val="0"/>
          <w:marTop w:val="0"/>
          <w:marBottom w:val="0"/>
          <w:divBdr>
            <w:top w:val="none" w:sz="0" w:space="0" w:color="auto"/>
            <w:left w:val="none" w:sz="0" w:space="0" w:color="auto"/>
            <w:bottom w:val="none" w:sz="0" w:space="0" w:color="auto"/>
            <w:right w:val="none" w:sz="0" w:space="0" w:color="auto"/>
          </w:divBdr>
        </w:div>
        <w:div w:id="1227375060">
          <w:marLeft w:val="0"/>
          <w:marRight w:val="0"/>
          <w:marTop w:val="0"/>
          <w:marBottom w:val="0"/>
          <w:divBdr>
            <w:top w:val="none" w:sz="0" w:space="0" w:color="auto"/>
            <w:left w:val="none" w:sz="0" w:space="0" w:color="auto"/>
            <w:bottom w:val="none" w:sz="0" w:space="0" w:color="auto"/>
            <w:right w:val="none" w:sz="0" w:space="0" w:color="auto"/>
          </w:divBdr>
        </w:div>
        <w:div w:id="1367606516">
          <w:marLeft w:val="0"/>
          <w:marRight w:val="0"/>
          <w:marTop w:val="0"/>
          <w:marBottom w:val="0"/>
          <w:divBdr>
            <w:top w:val="none" w:sz="0" w:space="0" w:color="auto"/>
            <w:left w:val="none" w:sz="0" w:space="0" w:color="auto"/>
            <w:bottom w:val="none" w:sz="0" w:space="0" w:color="auto"/>
            <w:right w:val="none" w:sz="0" w:space="0" w:color="auto"/>
          </w:divBdr>
        </w:div>
        <w:div w:id="1391491534">
          <w:marLeft w:val="0"/>
          <w:marRight w:val="0"/>
          <w:marTop w:val="0"/>
          <w:marBottom w:val="0"/>
          <w:divBdr>
            <w:top w:val="none" w:sz="0" w:space="0" w:color="auto"/>
            <w:left w:val="none" w:sz="0" w:space="0" w:color="auto"/>
            <w:bottom w:val="none" w:sz="0" w:space="0" w:color="auto"/>
            <w:right w:val="none" w:sz="0" w:space="0" w:color="auto"/>
          </w:divBdr>
        </w:div>
        <w:div w:id="1475565699">
          <w:marLeft w:val="0"/>
          <w:marRight w:val="0"/>
          <w:marTop w:val="0"/>
          <w:marBottom w:val="0"/>
          <w:divBdr>
            <w:top w:val="none" w:sz="0" w:space="0" w:color="auto"/>
            <w:left w:val="none" w:sz="0" w:space="0" w:color="auto"/>
            <w:bottom w:val="none" w:sz="0" w:space="0" w:color="auto"/>
            <w:right w:val="none" w:sz="0" w:space="0" w:color="auto"/>
          </w:divBdr>
        </w:div>
        <w:div w:id="1499225949">
          <w:marLeft w:val="0"/>
          <w:marRight w:val="0"/>
          <w:marTop w:val="0"/>
          <w:marBottom w:val="0"/>
          <w:divBdr>
            <w:top w:val="none" w:sz="0" w:space="0" w:color="auto"/>
            <w:left w:val="none" w:sz="0" w:space="0" w:color="auto"/>
            <w:bottom w:val="none" w:sz="0" w:space="0" w:color="auto"/>
            <w:right w:val="none" w:sz="0" w:space="0" w:color="auto"/>
          </w:divBdr>
        </w:div>
        <w:div w:id="1513567774">
          <w:marLeft w:val="0"/>
          <w:marRight w:val="0"/>
          <w:marTop w:val="0"/>
          <w:marBottom w:val="0"/>
          <w:divBdr>
            <w:top w:val="none" w:sz="0" w:space="0" w:color="auto"/>
            <w:left w:val="none" w:sz="0" w:space="0" w:color="auto"/>
            <w:bottom w:val="none" w:sz="0" w:space="0" w:color="auto"/>
            <w:right w:val="none" w:sz="0" w:space="0" w:color="auto"/>
          </w:divBdr>
        </w:div>
        <w:div w:id="1731878384">
          <w:marLeft w:val="0"/>
          <w:marRight w:val="0"/>
          <w:marTop w:val="0"/>
          <w:marBottom w:val="0"/>
          <w:divBdr>
            <w:top w:val="none" w:sz="0" w:space="0" w:color="auto"/>
            <w:left w:val="none" w:sz="0" w:space="0" w:color="auto"/>
            <w:bottom w:val="none" w:sz="0" w:space="0" w:color="auto"/>
            <w:right w:val="none" w:sz="0" w:space="0" w:color="auto"/>
          </w:divBdr>
        </w:div>
        <w:div w:id="1840584658">
          <w:marLeft w:val="0"/>
          <w:marRight w:val="0"/>
          <w:marTop w:val="0"/>
          <w:marBottom w:val="0"/>
          <w:divBdr>
            <w:top w:val="none" w:sz="0" w:space="0" w:color="auto"/>
            <w:left w:val="none" w:sz="0" w:space="0" w:color="auto"/>
            <w:bottom w:val="none" w:sz="0" w:space="0" w:color="auto"/>
            <w:right w:val="none" w:sz="0" w:space="0" w:color="auto"/>
          </w:divBdr>
        </w:div>
        <w:div w:id="1872304972">
          <w:marLeft w:val="0"/>
          <w:marRight w:val="0"/>
          <w:marTop w:val="0"/>
          <w:marBottom w:val="0"/>
          <w:divBdr>
            <w:top w:val="none" w:sz="0" w:space="0" w:color="auto"/>
            <w:left w:val="none" w:sz="0" w:space="0" w:color="auto"/>
            <w:bottom w:val="none" w:sz="0" w:space="0" w:color="auto"/>
            <w:right w:val="none" w:sz="0" w:space="0" w:color="auto"/>
          </w:divBdr>
        </w:div>
        <w:div w:id="1884781765">
          <w:marLeft w:val="0"/>
          <w:marRight w:val="0"/>
          <w:marTop w:val="0"/>
          <w:marBottom w:val="0"/>
          <w:divBdr>
            <w:top w:val="none" w:sz="0" w:space="0" w:color="auto"/>
            <w:left w:val="none" w:sz="0" w:space="0" w:color="auto"/>
            <w:bottom w:val="none" w:sz="0" w:space="0" w:color="auto"/>
            <w:right w:val="none" w:sz="0" w:space="0" w:color="auto"/>
          </w:divBdr>
        </w:div>
        <w:div w:id="2007241209">
          <w:marLeft w:val="0"/>
          <w:marRight w:val="0"/>
          <w:marTop w:val="0"/>
          <w:marBottom w:val="0"/>
          <w:divBdr>
            <w:top w:val="none" w:sz="0" w:space="0" w:color="auto"/>
            <w:left w:val="none" w:sz="0" w:space="0" w:color="auto"/>
            <w:bottom w:val="none" w:sz="0" w:space="0" w:color="auto"/>
            <w:right w:val="none" w:sz="0" w:space="0" w:color="auto"/>
          </w:divBdr>
        </w:div>
        <w:div w:id="2008823264">
          <w:marLeft w:val="0"/>
          <w:marRight w:val="0"/>
          <w:marTop w:val="0"/>
          <w:marBottom w:val="0"/>
          <w:divBdr>
            <w:top w:val="none" w:sz="0" w:space="0" w:color="auto"/>
            <w:left w:val="none" w:sz="0" w:space="0" w:color="auto"/>
            <w:bottom w:val="none" w:sz="0" w:space="0" w:color="auto"/>
            <w:right w:val="none" w:sz="0" w:space="0" w:color="auto"/>
          </w:divBdr>
        </w:div>
      </w:divsChild>
    </w:div>
    <w:div w:id="1234001040">
      <w:bodyDiv w:val="1"/>
      <w:marLeft w:val="0"/>
      <w:marRight w:val="0"/>
      <w:marTop w:val="0"/>
      <w:marBottom w:val="0"/>
      <w:divBdr>
        <w:top w:val="none" w:sz="0" w:space="0" w:color="auto"/>
        <w:left w:val="none" w:sz="0" w:space="0" w:color="auto"/>
        <w:bottom w:val="none" w:sz="0" w:space="0" w:color="auto"/>
        <w:right w:val="none" w:sz="0" w:space="0" w:color="auto"/>
      </w:divBdr>
      <w:divsChild>
        <w:div w:id="625937262">
          <w:marLeft w:val="0"/>
          <w:marRight w:val="0"/>
          <w:marTop w:val="0"/>
          <w:marBottom w:val="0"/>
          <w:divBdr>
            <w:top w:val="none" w:sz="0" w:space="0" w:color="auto"/>
            <w:left w:val="none" w:sz="0" w:space="0" w:color="auto"/>
            <w:bottom w:val="none" w:sz="0" w:space="0" w:color="auto"/>
            <w:right w:val="none" w:sz="0" w:space="0" w:color="auto"/>
          </w:divBdr>
        </w:div>
        <w:div w:id="80222926">
          <w:marLeft w:val="0"/>
          <w:marRight w:val="0"/>
          <w:marTop w:val="0"/>
          <w:marBottom w:val="0"/>
          <w:divBdr>
            <w:top w:val="none" w:sz="0" w:space="0" w:color="auto"/>
            <w:left w:val="none" w:sz="0" w:space="0" w:color="auto"/>
            <w:bottom w:val="none" w:sz="0" w:space="0" w:color="auto"/>
            <w:right w:val="none" w:sz="0" w:space="0" w:color="auto"/>
          </w:divBdr>
        </w:div>
        <w:div w:id="1725710474">
          <w:marLeft w:val="0"/>
          <w:marRight w:val="0"/>
          <w:marTop w:val="0"/>
          <w:marBottom w:val="0"/>
          <w:divBdr>
            <w:top w:val="none" w:sz="0" w:space="0" w:color="auto"/>
            <w:left w:val="none" w:sz="0" w:space="0" w:color="auto"/>
            <w:bottom w:val="none" w:sz="0" w:space="0" w:color="auto"/>
            <w:right w:val="none" w:sz="0" w:space="0" w:color="auto"/>
          </w:divBdr>
        </w:div>
        <w:div w:id="185337956">
          <w:marLeft w:val="0"/>
          <w:marRight w:val="0"/>
          <w:marTop w:val="0"/>
          <w:marBottom w:val="0"/>
          <w:divBdr>
            <w:top w:val="none" w:sz="0" w:space="0" w:color="auto"/>
            <w:left w:val="none" w:sz="0" w:space="0" w:color="auto"/>
            <w:bottom w:val="none" w:sz="0" w:space="0" w:color="auto"/>
            <w:right w:val="none" w:sz="0" w:space="0" w:color="auto"/>
          </w:divBdr>
        </w:div>
        <w:div w:id="11618186">
          <w:marLeft w:val="0"/>
          <w:marRight w:val="0"/>
          <w:marTop w:val="0"/>
          <w:marBottom w:val="0"/>
          <w:divBdr>
            <w:top w:val="none" w:sz="0" w:space="0" w:color="auto"/>
            <w:left w:val="none" w:sz="0" w:space="0" w:color="auto"/>
            <w:bottom w:val="none" w:sz="0" w:space="0" w:color="auto"/>
            <w:right w:val="none" w:sz="0" w:space="0" w:color="auto"/>
          </w:divBdr>
        </w:div>
        <w:div w:id="313073124">
          <w:marLeft w:val="0"/>
          <w:marRight w:val="0"/>
          <w:marTop w:val="0"/>
          <w:marBottom w:val="0"/>
          <w:divBdr>
            <w:top w:val="none" w:sz="0" w:space="0" w:color="auto"/>
            <w:left w:val="none" w:sz="0" w:space="0" w:color="auto"/>
            <w:bottom w:val="none" w:sz="0" w:space="0" w:color="auto"/>
            <w:right w:val="none" w:sz="0" w:space="0" w:color="auto"/>
          </w:divBdr>
        </w:div>
      </w:divsChild>
    </w:div>
    <w:div w:id="1280600089">
      <w:bodyDiv w:val="1"/>
      <w:marLeft w:val="0"/>
      <w:marRight w:val="0"/>
      <w:marTop w:val="0"/>
      <w:marBottom w:val="0"/>
      <w:divBdr>
        <w:top w:val="none" w:sz="0" w:space="0" w:color="auto"/>
        <w:left w:val="none" w:sz="0" w:space="0" w:color="auto"/>
        <w:bottom w:val="none" w:sz="0" w:space="0" w:color="auto"/>
        <w:right w:val="none" w:sz="0" w:space="0" w:color="auto"/>
      </w:divBdr>
      <w:divsChild>
        <w:div w:id="1249654483">
          <w:marLeft w:val="0"/>
          <w:marRight w:val="0"/>
          <w:marTop w:val="15"/>
          <w:marBottom w:val="0"/>
          <w:divBdr>
            <w:top w:val="none" w:sz="0" w:space="0" w:color="auto"/>
            <w:left w:val="none" w:sz="0" w:space="0" w:color="auto"/>
            <w:bottom w:val="none" w:sz="0" w:space="0" w:color="auto"/>
            <w:right w:val="none" w:sz="0" w:space="0" w:color="auto"/>
          </w:divBdr>
        </w:div>
        <w:div w:id="1544370742">
          <w:marLeft w:val="0"/>
          <w:marRight w:val="0"/>
          <w:marTop w:val="15"/>
          <w:marBottom w:val="0"/>
          <w:divBdr>
            <w:top w:val="none" w:sz="0" w:space="0" w:color="auto"/>
            <w:left w:val="none" w:sz="0" w:space="0" w:color="auto"/>
            <w:bottom w:val="none" w:sz="0" w:space="0" w:color="auto"/>
            <w:right w:val="none" w:sz="0" w:space="0" w:color="auto"/>
          </w:divBdr>
          <w:divsChild>
            <w:div w:id="1223373336">
              <w:marLeft w:val="0"/>
              <w:marRight w:val="0"/>
              <w:marTop w:val="0"/>
              <w:marBottom w:val="0"/>
              <w:divBdr>
                <w:top w:val="none" w:sz="0" w:space="0" w:color="auto"/>
                <w:left w:val="none" w:sz="0" w:space="0" w:color="auto"/>
                <w:bottom w:val="none" w:sz="0" w:space="0" w:color="auto"/>
                <w:right w:val="none" w:sz="0" w:space="0" w:color="auto"/>
              </w:divBdr>
              <w:divsChild>
                <w:div w:id="27604022">
                  <w:marLeft w:val="0"/>
                  <w:marRight w:val="0"/>
                  <w:marTop w:val="0"/>
                  <w:marBottom w:val="0"/>
                  <w:divBdr>
                    <w:top w:val="none" w:sz="0" w:space="0" w:color="auto"/>
                    <w:left w:val="none" w:sz="0" w:space="0" w:color="auto"/>
                    <w:bottom w:val="none" w:sz="0" w:space="0" w:color="auto"/>
                    <w:right w:val="none" w:sz="0" w:space="0" w:color="auto"/>
                  </w:divBdr>
                </w:div>
                <w:div w:id="43676004">
                  <w:marLeft w:val="0"/>
                  <w:marRight w:val="0"/>
                  <w:marTop w:val="0"/>
                  <w:marBottom w:val="0"/>
                  <w:divBdr>
                    <w:top w:val="none" w:sz="0" w:space="0" w:color="auto"/>
                    <w:left w:val="none" w:sz="0" w:space="0" w:color="auto"/>
                    <w:bottom w:val="none" w:sz="0" w:space="0" w:color="auto"/>
                    <w:right w:val="none" w:sz="0" w:space="0" w:color="auto"/>
                  </w:divBdr>
                </w:div>
                <w:div w:id="44449790">
                  <w:marLeft w:val="0"/>
                  <w:marRight w:val="0"/>
                  <w:marTop w:val="0"/>
                  <w:marBottom w:val="0"/>
                  <w:divBdr>
                    <w:top w:val="none" w:sz="0" w:space="0" w:color="auto"/>
                    <w:left w:val="none" w:sz="0" w:space="0" w:color="auto"/>
                    <w:bottom w:val="none" w:sz="0" w:space="0" w:color="auto"/>
                    <w:right w:val="none" w:sz="0" w:space="0" w:color="auto"/>
                  </w:divBdr>
                </w:div>
                <w:div w:id="70977734">
                  <w:marLeft w:val="0"/>
                  <w:marRight w:val="0"/>
                  <w:marTop w:val="0"/>
                  <w:marBottom w:val="0"/>
                  <w:divBdr>
                    <w:top w:val="none" w:sz="0" w:space="0" w:color="auto"/>
                    <w:left w:val="none" w:sz="0" w:space="0" w:color="auto"/>
                    <w:bottom w:val="none" w:sz="0" w:space="0" w:color="auto"/>
                    <w:right w:val="none" w:sz="0" w:space="0" w:color="auto"/>
                  </w:divBdr>
                </w:div>
                <w:div w:id="151801415">
                  <w:marLeft w:val="0"/>
                  <w:marRight w:val="0"/>
                  <w:marTop w:val="0"/>
                  <w:marBottom w:val="0"/>
                  <w:divBdr>
                    <w:top w:val="none" w:sz="0" w:space="0" w:color="auto"/>
                    <w:left w:val="none" w:sz="0" w:space="0" w:color="auto"/>
                    <w:bottom w:val="none" w:sz="0" w:space="0" w:color="auto"/>
                    <w:right w:val="none" w:sz="0" w:space="0" w:color="auto"/>
                  </w:divBdr>
                </w:div>
                <w:div w:id="152336999">
                  <w:marLeft w:val="0"/>
                  <w:marRight w:val="0"/>
                  <w:marTop w:val="0"/>
                  <w:marBottom w:val="0"/>
                  <w:divBdr>
                    <w:top w:val="none" w:sz="0" w:space="0" w:color="auto"/>
                    <w:left w:val="none" w:sz="0" w:space="0" w:color="auto"/>
                    <w:bottom w:val="none" w:sz="0" w:space="0" w:color="auto"/>
                    <w:right w:val="none" w:sz="0" w:space="0" w:color="auto"/>
                  </w:divBdr>
                </w:div>
                <w:div w:id="156505304">
                  <w:marLeft w:val="0"/>
                  <w:marRight w:val="0"/>
                  <w:marTop w:val="0"/>
                  <w:marBottom w:val="0"/>
                  <w:divBdr>
                    <w:top w:val="none" w:sz="0" w:space="0" w:color="auto"/>
                    <w:left w:val="none" w:sz="0" w:space="0" w:color="auto"/>
                    <w:bottom w:val="none" w:sz="0" w:space="0" w:color="auto"/>
                    <w:right w:val="none" w:sz="0" w:space="0" w:color="auto"/>
                  </w:divBdr>
                </w:div>
                <w:div w:id="157964807">
                  <w:marLeft w:val="0"/>
                  <w:marRight w:val="0"/>
                  <w:marTop w:val="0"/>
                  <w:marBottom w:val="0"/>
                  <w:divBdr>
                    <w:top w:val="none" w:sz="0" w:space="0" w:color="auto"/>
                    <w:left w:val="none" w:sz="0" w:space="0" w:color="auto"/>
                    <w:bottom w:val="none" w:sz="0" w:space="0" w:color="auto"/>
                    <w:right w:val="none" w:sz="0" w:space="0" w:color="auto"/>
                  </w:divBdr>
                </w:div>
                <w:div w:id="207451192">
                  <w:marLeft w:val="0"/>
                  <w:marRight w:val="0"/>
                  <w:marTop w:val="0"/>
                  <w:marBottom w:val="0"/>
                  <w:divBdr>
                    <w:top w:val="none" w:sz="0" w:space="0" w:color="auto"/>
                    <w:left w:val="none" w:sz="0" w:space="0" w:color="auto"/>
                    <w:bottom w:val="none" w:sz="0" w:space="0" w:color="auto"/>
                    <w:right w:val="none" w:sz="0" w:space="0" w:color="auto"/>
                  </w:divBdr>
                </w:div>
                <w:div w:id="268464783">
                  <w:marLeft w:val="0"/>
                  <w:marRight w:val="0"/>
                  <w:marTop w:val="0"/>
                  <w:marBottom w:val="0"/>
                  <w:divBdr>
                    <w:top w:val="none" w:sz="0" w:space="0" w:color="auto"/>
                    <w:left w:val="none" w:sz="0" w:space="0" w:color="auto"/>
                    <w:bottom w:val="none" w:sz="0" w:space="0" w:color="auto"/>
                    <w:right w:val="none" w:sz="0" w:space="0" w:color="auto"/>
                  </w:divBdr>
                </w:div>
                <w:div w:id="278953909">
                  <w:marLeft w:val="0"/>
                  <w:marRight w:val="0"/>
                  <w:marTop w:val="0"/>
                  <w:marBottom w:val="0"/>
                  <w:divBdr>
                    <w:top w:val="none" w:sz="0" w:space="0" w:color="auto"/>
                    <w:left w:val="none" w:sz="0" w:space="0" w:color="auto"/>
                    <w:bottom w:val="none" w:sz="0" w:space="0" w:color="auto"/>
                    <w:right w:val="none" w:sz="0" w:space="0" w:color="auto"/>
                  </w:divBdr>
                </w:div>
                <w:div w:id="323093638">
                  <w:marLeft w:val="0"/>
                  <w:marRight w:val="0"/>
                  <w:marTop w:val="0"/>
                  <w:marBottom w:val="0"/>
                  <w:divBdr>
                    <w:top w:val="none" w:sz="0" w:space="0" w:color="auto"/>
                    <w:left w:val="none" w:sz="0" w:space="0" w:color="auto"/>
                    <w:bottom w:val="none" w:sz="0" w:space="0" w:color="auto"/>
                    <w:right w:val="none" w:sz="0" w:space="0" w:color="auto"/>
                  </w:divBdr>
                </w:div>
                <w:div w:id="325090397">
                  <w:marLeft w:val="0"/>
                  <w:marRight w:val="0"/>
                  <w:marTop w:val="0"/>
                  <w:marBottom w:val="0"/>
                  <w:divBdr>
                    <w:top w:val="none" w:sz="0" w:space="0" w:color="auto"/>
                    <w:left w:val="none" w:sz="0" w:space="0" w:color="auto"/>
                    <w:bottom w:val="none" w:sz="0" w:space="0" w:color="auto"/>
                    <w:right w:val="none" w:sz="0" w:space="0" w:color="auto"/>
                  </w:divBdr>
                </w:div>
                <w:div w:id="327634479">
                  <w:marLeft w:val="0"/>
                  <w:marRight w:val="0"/>
                  <w:marTop w:val="0"/>
                  <w:marBottom w:val="0"/>
                  <w:divBdr>
                    <w:top w:val="none" w:sz="0" w:space="0" w:color="auto"/>
                    <w:left w:val="none" w:sz="0" w:space="0" w:color="auto"/>
                    <w:bottom w:val="none" w:sz="0" w:space="0" w:color="auto"/>
                    <w:right w:val="none" w:sz="0" w:space="0" w:color="auto"/>
                  </w:divBdr>
                </w:div>
                <w:div w:id="336687898">
                  <w:marLeft w:val="0"/>
                  <w:marRight w:val="0"/>
                  <w:marTop w:val="0"/>
                  <w:marBottom w:val="0"/>
                  <w:divBdr>
                    <w:top w:val="none" w:sz="0" w:space="0" w:color="auto"/>
                    <w:left w:val="none" w:sz="0" w:space="0" w:color="auto"/>
                    <w:bottom w:val="none" w:sz="0" w:space="0" w:color="auto"/>
                    <w:right w:val="none" w:sz="0" w:space="0" w:color="auto"/>
                  </w:divBdr>
                </w:div>
                <w:div w:id="349988791">
                  <w:marLeft w:val="0"/>
                  <w:marRight w:val="0"/>
                  <w:marTop w:val="0"/>
                  <w:marBottom w:val="0"/>
                  <w:divBdr>
                    <w:top w:val="none" w:sz="0" w:space="0" w:color="auto"/>
                    <w:left w:val="none" w:sz="0" w:space="0" w:color="auto"/>
                    <w:bottom w:val="none" w:sz="0" w:space="0" w:color="auto"/>
                    <w:right w:val="none" w:sz="0" w:space="0" w:color="auto"/>
                  </w:divBdr>
                </w:div>
                <w:div w:id="351541482">
                  <w:marLeft w:val="0"/>
                  <w:marRight w:val="0"/>
                  <w:marTop w:val="0"/>
                  <w:marBottom w:val="0"/>
                  <w:divBdr>
                    <w:top w:val="none" w:sz="0" w:space="0" w:color="auto"/>
                    <w:left w:val="none" w:sz="0" w:space="0" w:color="auto"/>
                    <w:bottom w:val="none" w:sz="0" w:space="0" w:color="auto"/>
                    <w:right w:val="none" w:sz="0" w:space="0" w:color="auto"/>
                  </w:divBdr>
                </w:div>
                <w:div w:id="408846116">
                  <w:marLeft w:val="0"/>
                  <w:marRight w:val="0"/>
                  <w:marTop w:val="0"/>
                  <w:marBottom w:val="0"/>
                  <w:divBdr>
                    <w:top w:val="none" w:sz="0" w:space="0" w:color="auto"/>
                    <w:left w:val="none" w:sz="0" w:space="0" w:color="auto"/>
                    <w:bottom w:val="none" w:sz="0" w:space="0" w:color="auto"/>
                    <w:right w:val="none" w:sz="0" w:space="0" w:color="auto"/>
                  </w:divBdr>
                </w:div>
                <w:div w:id="442771569">
                  <w:marLeft w:val="0"/>
                  <w:marRight w:val="0"/>
                  <w:marTop w:val="0"/>
                  <w:marBottom w:val="0"/>
                  <w:divBdr>
                    <w:top w:val="none" w:sz="0" w:space="0" w:color="auto"/>
                    <w:left w:val="none" w:sz="0" w:space="0" w:color="auto"/>
                    <w:bottom w:val="none" w:sz="0" w:space="0" w:color="auto"/>
                    <w:right w:val="none" w:sz="0" w:space="0" w:color="auto"/>
                  </w:divBdr>
                </w:div>
                <w:div w:id="445395261">
                  <w:marLeft w:val="0"/>
                  <w:marRight w:val="0"/>
                  <w:marTop w:val="0"/>
                  <w:marBottom w:val="0"/>
                  <w:divBdr>
                    <w:top w:val="none" w:sz="0" w:space="0" w:color="auto"/>
                    <w:left w:val="none" w:sz="0" w:space="0" w:color="auto"/>
                    <w:bottom w:val="none" w:sz="0" w:space="0" w:color="auto"/>
                    <w:right w:val="none" w:sz="0" w:space="0" w:color="auto"/>
                  </w:divBdr>
                </w:div>
                <w:div w:id="456878227">
                  <w:marLeft w:val="0"/>
                  <w:marRight w:val="0"/>
                  <w:marTop w:val="0"/>
                  <w:marBottom w:val="0"/>
                  <w:divBdr>
                    <w:top w:val="none" w:sz="0" w:space="0" w:color="auto"/>
                    <w:left w:val="none" w:sz="0" w:space="0" w:color="auto"/>
                    <w:bottom w:val="none" w:sz="0" w:space="0" w:color="auto"/>
                    <w:right w:val="none" w:sz="0" w:space="0" w:color="auto"/>
                  </w:divBdr>
                </w:div>
                <w:div w:id="477646754">
                  <w:marLeft w:val="0"/>
                  <w:marRight w:val="0"/>
                  <w:marTop w:val="0"/>
                  <w:marBottom w:val="0"/>
                  <w:divBdr>
                    <w:top w:val="none" w:sz="0" w:space="0" w:color="auto"/>
                    <w:left w:val="none" w:sz="0" w:space="0" w:color="auto"/>
                    <w:bottom w:val="none" w:sz="0" w:space="0" w:color="auto"/>
                    <w:right w:val="none" w:sz="0" w:space="0" w:color="auto"/>
                  </w:divBdr>
                </w:div>
                <w:div w:id="545993366">
                  <w:marLeft w:val="0"/>
                  <w:marRight w:val="0"/>
                  <w:marTop w:val="0"/>
                  <w:marBottom w:val="0"/>
                  <w:divBdr>
                    <w:top w:val="none" w:sz="0" w:space="0" w:color="auto"/>
                    <w:left w:val="none" w:sz="0" w:space="0" w:color="auto"/>
                    <w:bottom w:val="none" w:sz="0" w:space="0" w:color="auto"/>
                    <w:right w:val="none" w:sz="0" w:space="0" w:color="auto"/>
                  </w:divBdr>
                </w:div>
                <w:div w:id="550076012">
                  <w:marLeft w:val="0"/>
                  <w:marRight w:val="0"/>
                  <w:marTop w:val="0"/>
                  <w:marBottom w:val="0"/>
                  <w:divBdr>
                    <w:top w:val="none" w:sz="0" w:space="0" w:color="auto"/>
                    <w:left w:val="none" w:sz="0" w:space="0" w:color="auto"/>
                    <w:bottom w:val="none" w:sz="0" w:space="0" w:color="auto"/>
                    <w:right w:val="none" w:sz="0" w:space="0" w:color="auto"/>
                  </w:divBdr>
                </w:div>
                <w:div w:id="556821782">
                  <w:marLeft w:val="0"/>
                  <w:marRight w:val="0"/>
                  <w:marTop w:val="0"/>
                  <w:marBottom w:val="0"/>
                  <w:divBdr>
                    <w:top w:val="none" w:sz="0" w:space="0" w:color="auto"/>
                    <w:left w:val="none" w:sz="0" w:space="0" w:color="auto"/>
                    <w:bottom w:val="none" w:sz="0" w:space="0" w:color="auto"/>
                    <w:right w:val="none" w:sz="0" w:space="0" w:color="auto"/>
                  </w:divBdr>
                </w:div>
                <w:div w:id="676661458">
                  <w:marLeft w:val="0"/>
                  <w:marRight w:val="0"/>
                  <w:marTop w:val="0"/>
                  <w:marBottom w:val="0"/>
                  <w:divBdr>
                    <w:top w:val="none" w:sz="0" w:space="0" w:color="auto"/>
                    <w:left w:val="none" w:sz="0" w:space="0" w:color="auto"/>
                    <w:bottom w:val="none" w:sz="0" w:space="0" w:color="auto"/>
                    <w:right w:val="none" w:sz="0" w:space="0" w:color="auto"/>
                  </w:divBdr>
                </w:div>
                <w:div w:id="710155875">
                  <w:marLeft w:val="0"/>
                  <w:marRight w:val="0"/>
                  <w:marTop w:val="0"/>
                  <w:marBottom w:val="0"/>
                  <w:divBdr>
                    <w:top w:val="none" w:sz="0" w:space="0" w:color="auto"/>
                    <w:left w:val="none" w:sz="0" w:space="0" w:color="auto"/>
                    <w:bottom w:val="none" w:sz="0" w:space="0" w:color="auto"/>
                    <w:right w:val="none" w:sz="0" w:space="0" w:color="auto"/>
                  </w:divBdr>
                </w:div>
                <w:div w:id="727848555">
                  <w:marLeft w:val="0"/>
                  <w:marRight w:val="0"/>
                  <w:marTop w:val="0"/>
                  <w:marBottom w:val="0"/>
                  <w:divBdr>
                    <w:top w:val="none" w:sz="0" w:space="0" w:color="auto"/>
                    <w:left w:val="none" w:sz="0" w:space="0" w:color="auto"/>
                    <w:bottom w:val="none" w:sz="0" w:space="0" w:color="auto"/>
                    <w:right w:val="none" w:sz="0" w:space="0" w:color="auto"/>
                  </w:divBdr>
                </w:div>
                <w:div w:id="768962772">
                  <w:marLeft w:val="0"/>
                  <w:marRight w:val="0"/>
                  <w:marTop w:val="0"/>
                  <w:marBottom w:val="0"/>
                  <w:divBdr>
                    <w:top w:val="none" w:sz="0" w:space="0" w:color="auto"/>
                    <w:left w:val="none" w:sz="0" w:space="0" w:color="auto"/>
                    <w:bottom w:val="none" w:sz="0" w:space="0" w:color="auto"/>
                    <w:right w:val="none" w:sz="0" w:space="0" w:color="auto"/>
                  </w:divBdr>
                </w:div>
                <w:div w:id="769080991">
                  <w:marLeft w:val="0"/>
                  <w:marRight w:val="0"/>
                  <w:marTop w:val="0"/>
                  <w:marBottom w:val="0"/>
                  <w:divBdr>
                    <w:top w:val="none" w:sz="0" w:space="0" w:color="auto"/>
                    <w:left w:val="none" w:sz="0" w:space="0" w:color="auto"/>
                    <w:bottom w:val="none" w:sz="0" w:space="0" w:color="auto"/>
                    <w:right w:val="none" w:sz="0" w:space="0" w:color="auto"/>
                  </w:divBdr>
                </w:div>
                <w:div w:id="847452544">
                  <w:marLeft w:val="0"/>
                  <w:marRight w:val="0"/>
                  <w:marTop w:val="0"/>
                  <w:marBottom w:val="0"/>
                  <w:divBdr>
                    <w:top w:val="none" w:sz="0" w:space="0" w:color="auto"/>
                    <w:left w:val="none" w:sz="0" w:space="0" w:color="auto"/>
                    <w:bottom w:val="none" w:sz="0" w:space="0" w:color="auto"/>
                    <w:right w:val="none" w:sz="0" w:space="0" w:color="auto"/>
                  </w:divBdr>
                </w:div>
                <w:div w:id="968625883">
                  <w:marLeft w:val="0"/>
                  <w:marRight w:val="0"/>
                  <w:marTop w:val="0"/>
                  <w:marBottom w:val="0"/>
                  <w:divBdr>
                    <w:top w:val="none" w:sz="0" w:space="0" w:color="auto"/>
                    <w:left w:val="none" w:sz="0" w:space="0" w:color="auto"/>
                    <w:bottom w:val="none" w:sz="0" w:space="0" w:color="auto"/>
                    <w:right w:val="none" w:sz="0" w:space="0" w:color="auto"/>
                  </w:divBdr>
                </w:div>
                <w:div w:id="1008210594">
                  <w:marLeft w:val="0"/>
                  <w:marRight w:val="0"/>
                  <w:marTop w:val="0"/>
                  <w:marBottom w:val="0"/>
                  <w:divBdr>
                    <w:top w:val="none" w:sz="0" w:space="0" w:color="auto"/>
                    <w:left w:val="none" w:sz="0" w:space="0" w:color="auto"/>
                    <w:bottom w:val="none" w:sz="0" w:space="0" w:color="auto"/>
                    <w:right w:val="none" w:sz="0" w:space="0" w:color="auto"/>
                  </w:divBdr>
                </w:div>
                <w:div w:id="1014768799">
                  <w:marLeft w:val="0"/>
                  <w:marRight w:val="0"/>
                  <w:marTop w:val="0"/>
                  <w:marBottom w:val="0"/>
                  <w:divBdr>
                    <w:top w:val="none" w:sz="0" w:space="0" w:color="auto"/>
                    <w:left w:val="none" w:sz="0" w:space="0" w:color="auto"/>
                    <w:bottom w:val="none" w:sz="0" w:space="0" w:color="auto"/>
                    <w:right w:val="none" w:sz="0" w:space="0" w:color="auto"/>
                  </w:divBdr>
                </w:div>
                <w:div w:id="1020665094">
                  <w:marLeft w:val="0"/>
                  <w:marRight w:val="0"/>
                  <w:marTop w:val="0"/>
                  <w:marBottom w:val="0"/>
                  <w:divBdr>
                    <w:top w:val="none" w:sz="0" w:space="0" w:color="auto"/>
                    <w:left w:val="none" w:sz="0" w:space="0" w:color="auto"/>
                    <w:bottom w:val="none" w:sz="0" w:space="0" w:color="auto"/>
                    <w:right w:val="none" w:sz="0" w:space="0" w:color="auto"/>
                  </w:divBdr>
                </w:div>
                <w:div w:id="1039476557">
                  <w:marLeft w:val="0"/>
                  <w:marRight w:val="0"/>
                  <w:marTop w:val="0"/>
                  <w:marBottom w:val="0"/>
                  <w:divBdr>
                    <w:top w:val="none" w:sz="0" w:space="0" w:color="auto"/>
                    <w:left w:val="none" w:sz="0" w:space="0" w:color="auto"/>
                    <w:bottom w:val="none" w:sz="0" w:space="0" w:color="auto"/>
                    <w:right w:val="none" w:sz="0" w:space="0" w:color="auto"/>
                  </w:divBdr>
                </w:div>
                <w:div w:id="1047224247">
                  <w:marLeft w:val="0"/>
                  <w:marRight w:val="0"/>
                  <w:marTop w:val="0"/>
                  <w:marBottom w:val="0"/>
                  <w:divBdr>
                    <w:top w:val="none" w:sz="0" w:space="0" w:color="auto"/>
                    <w:left w:val="none" w:sz="0" w:space="0" w:color="auto"/>
                    <w:bottom w:val="none" w:sz="0" w:space="0" w:color="auto"/>
                    <w:right w:val="none" w:sz="0" w:space="0" w:color="auto"/>
                  </w:divBdr>
                </w:div>
                <w:div w:id="1094670382">
                  <w:marLeft w:val="0"/>
                  <w:marRight w:val="0"/>
                  <w:marTop w:val="0"/>
                  <w:marBottom w:val="0"/>
                  <w:divBdr>
                    <w:top w:val="none" w:sz="0" w:space="0" w:color="auto"/>
                    <w:left w:val="none" w:sz="0" w:space="0" w:color="auto"/>
                    <w:bottom w:val="none" w:sz="0" w:space="0" w:color="auto"/>
                    <w:right w:val="none" w:sz="0" w:space="0" w:color="auto"/>
                  </w:divBdr>
                </w:div>
                <w:div w:id="1140271077">
                  <w:marLeft w:val="0"/>
                  <w:marRight w:val="0"/>
                  <w:marTop w:val="0"/>
                  <w:marBottom w:val="0"/>
                  <w:divBdr>
                    <w:top w:val="none" w:sz="0" w:space="0" w:color="auto"/>
                    <w:left w:val="none" w:sz="0" w:space="0" w:color="auto"/>
                    <w:bottom w:val="none" w:sz="0" w:space="0" w:color="auto"/>
                    <w:right w:val="none" w:sz="0" w:space="0" w:color="auto"/>
                  </w:divBdr>
                </w:div>
                <w:div w:id="1175530913">
                  <w:marLeft w:val="0"/>
                  <w:marRight w:val="0"/>
                  <w:marTop w:val="0"/>
                  <w:marBottom w:val="0"/>
                  <w:divBdr>
                    <w:top w:val="none" w:sz="0" w:space="0" w:color="auto"/>
                    <w:left w:val="none" w:sz="0" w:space="0" w:color="auto"/>
                    <w:bottom w:val="none" w:sz="0" w:space="0" w:color="auto"/>
                    <w:right w:val="none" w:sz="0" w:space="0" w:color="auto"/>
                  </w:divBdr>
                </w:div>
                <w:div w:id="1221014970">
                  <w:marLeft w:val="0"/>
                  <w:marRight w:val="0"/>
                  <w:marTop w:val="0"/>
                  <w:marBottom w:val="0"/>
                  <w:divBdr>
                    <w:top w:val="none" w:sz="0" w:space="0" w:color="auto"/>
                    <w:left w:val="none" w:sz="0" w:space="0" w:color="auto"/>
                    <w:bottom w:val="none" w:sz="0" w:space="0" w:color="auto"/>
                    <w:right w:val="none" w:sz="0" w:space="0" w:color="auto"/>
                  </w:divBdr>
                </w:div>
                <w:div w:id="1222864497">
                  <w:marLeft w:val="0"/>
                  <w:marRight w:val="0"/>
                  <w:marTop w:val="0"/>
                  <w:marBottom w:val="0"/>
                  <w:divBdr>
                    <w:top w:val="none" w:sz="0" w:space="0" w:color="auto"/>
                    <w:left w:val="none" w:sz="0" w:space="0" w:color="auto"/>
                    <w:bottom w:val="none" w:sz="0" w:space="0" w:color="auto"/>
                    <w:right w:val="none" w:sz="0" w:space="0" w:color="auto"/>
                  </w:divBdr>
                </w:div>
                <w:div w:id="1276673607">
                  <w:marLeft w:val="0"/>
                  <w:marRight w:val="0"/>
                  <w:marTop w:val="0"/>
                  <w:marBottom w:val="0"/>
                  <w:divBdr>
                    <w:top w:val="none" w:sz="0" w:space="0" w:color="auto"/>
                    <w:left w:val="none" w:sz="0" w:space="0" w:color="auto"/>
                    <w:bottom w:val="none" w:sz="0" w:space="0" w:color="auto"/>
                    <w:right w:val="none" w:sz="0" w:space="0" w:color="auto"/>
                  </w:divBdr>
                </w:div>
                <w:div w:id="1356494335">
                  <w:marLeft w:val="0"/>
                  <w:marRight w:val="0"/>
                  <w:marTop w:val="0"/>
                  <w:marBottom w:val="0"/>
                  <w:divBdr>
                    <w:top w:val="none" w:sz="0" w:space="0" w:color="auto"/>
                    <w:left w:val="none" w:sz="0" w:space="0" w:color="auto"/>
                    <w:bottom w:val="none" w:sz="0" w:space="0" w:color="auto"/>
                    <w:right w:val="none" w:sz="0" w:space="0" w:color="auto"/>
                  </w:divBdr>
                </w:div>
                <w:div w:id="1454516541">
                  <w:marLeft w:val="0"/>
                  <w:marRight w:val="0"/>
                  <w:marTop w:val="0"/>
                  <w:marBottom w:val="0"/>
                  <w:divBdr>
                    <w:top w:val="none" w:sz="0" w:space="0" w:color="auto"/>
                    <w:left w:val="none" w:sz="0" w:space="0" w:color="auto"/>
                    <w:bottom w:val="none" w:sz="0" w:space="0" w:color="auto"/>
                    <w:right w:val="none" w:sz="0" w:space="0" w:color="auto"/>
                  </w:divBdr>
                </w:div>
                <w:div w:id="1488127095">
                  <w:marLeft w:val="0"/>
                  <w:marRight w:val="0"/>
                  <w:marTop w:val="0"/>
                  <w:marBottom w:val="0"/>
                  <w:divBdr>
                    <w:top w:val="none" w:sz="0" w:space="0" w:color="auto"/>
                    <w:left w:val="none" w:sz="0" w:space="0" w:color="auto"/>
                    <w:bottom w:val="none" w:sz="0" w:space="0" w:color="auto"/>
                    <w:right w:val="none" w:sz="0" w:space="0" w:color="auto"/>
                  </w:divBdr>
                </w:div>
                <w:div w:id="1518235181">
                  <w:marLeft w:val="0"/>
                  <w:marRight w:val="0"/>
                  <w:marTop w:val="0"/>
                  <w:marBottom w:val="0"/>
                  <w:divBdr>
                    <w:top w:val="none" w:sz="0" w:space="0" w:color="auto"/>
                    <w:left w:val="none" w:sz="0" w:space="0" w:color="auto"/>
                    <w:bottom w:val="none" w:sz="0" w:space="0" w:color="auto"/>
                    <w:right w:val="none" w:sz="0" w:space="0" w:color="auto"/>
                  </w:divBdr>
                </w:div>
                <w:div w:id="1572109121">
                  <w:marLeft w:val="0"/>
                  <w:marRight w:val="0"/>
                  <w:marTop w:val="0"/>
                  <w:marBottom w:val="0"/>
                  <w:divBdr>
                    <w:top w:val="none" w:sz="0" w:space="0" w:color="auto"/>
                    <w:left w:val="none" w:sz="0" w:space="0" w:color="auto"/>
                    <w:bottom w:val="none" w:sz="0" w:space="0" w:color="auto"/>
                    <w:right w:val="none" w:sz="0" w:space="0" w:color="auto"/>
                  </w:divBdr>
                </w:div>
                <w:div w:id="1607926700">
                  <w:marLeft w:val="0"/>
                  <w:marRight w:val="0"/>
                  <w:marTop w:val="0"/>
                  <w:marBottom w:val="0"/>
                  <w:divBdr>
                    <w:top w:val="none" w:sz="0" w:space="0" w:color="auto"/>
                    <w:left w:val="none" w:sz="0" w:space="0" w:color="auto"/>
                    <w:bottom w:val="none" w:sz="0" w:space="0" w:color="auto"/>
                    <w:right w:val="none" w:sz="0" w:space="0" w:color="auto"/>
                  </w:divBdr>
                </w:div>
                <w:div w:id="1609582061">
                  <w:marLeft w:val="0"/>
                  <w:marRight w:val="0"/>
                  <w:marTop w:val="0"/>
                  <w:marBottom w:val="0"/>
                  <w:divBdr>
                    <w:top w:val="none" w:sz="0" w:space="0" w:color="auto"/>
                    <w:left w:val="none" w:sz="0" w:space="0" w:color="auto"/>
                    <w:bottom w:val="none" w:sz="0" w:space="0" w:color="auto"/>
                    <w:right w:val="none" w:sz="0" w:space="0" w:color="auto"/>
                  </w:divBdr>
                </w:div>
                <w:div w:id="1688872378">
                  <w:marLeft w:val="0"/>
                  <w:marRight w:val="0"/>
                  <w:marTop w:val="0"/>
                  <w:marBottom w:val="0"/>
                  <w:divBdr>
                    <w:top w:val="none" w:sz="0" w:space="0" w:color="auto"/>
                    <w:left w:val="none" w:sz="0" w:space="0" w:color="auto"/>
                    <w:bottom w:val="none" w:sz="0" w:space="0" w:color="auto"/>
                    <w:right w:val="none" w:sz="0" w:space="0" w:color="auto"/>
                  </w:divBdr>
                </w:div>
                <w:div w:id="1690257063">
                  <w:marLeft w:val="0"/>
                  <w:marRight w:val="0"/>
                  <w:marTop w:val="0"/>
                  <w:marBottom w:val="0"/>
                  <w:divBdr>
                    <w:top w:val="none" w:sz="0" w:space="0" w:color="auto"/>
                    <w:left w:val="none" w:sz="0" w:space="0" w:color="auto"/>
                    <w:bottom w:val="none" w:sz="0" w:space="0" w:color="auto"/>
                    <w:right w:val="none" w:sz="0" w:space="0" w:color="auto"/>
                  </w:divBdr>
                </w:div>
                <w:div w:id="1731340210">
                  <w:marLeft w:val="0"/>
                  <w:marRight w:val="0"/>
                  <w:marTop w:val="0"/>
                  <w:marBottom w:val="0"/>
                  <w:divBdr>
                    <w:top w:val="none" w:sz="0" w:space="0" w:color="auto"/>
                    <w:left w:val="none" w:sz="0" w:space="0" w:color="auto"/>
                    <w:bottom w:val="none" w:sz="0" w:space="0" w:color="auto"/>
                    <w:right w:val="none" w:sz="0" w:space="0" w:color="auto"/>
                  </w:divBdr>
                </w:div>
                <w:div w:id="1735082089">
                  <w:marLeft w:val="0"/>
                  <w:marRight w:val="0"/>
                  <w:marTop w:val="0"/>
                  <w:marBottom w:val="0"/>
                  <w:divBdr>
                    <w:top w:val="none" w:sz="0" w:space="0" w:color="auto"/>
                    <w:left w:val="none" w:sz="0" w:space="0" w:color="auto"/>
                    <w:bottom w:val="none" w:sz="0" w:space="0" w:color="auto"/>
                    <w:right w:val="none" w:sz="0" w:space="0" w:color="auto"/>
                  </w:divBdr>
                </w:div>
                <w:div w:id="1737049602">
                  <w:marLeft w:val="0"/>
                  <w:marRight w:val="0"/>
                  <w:marTop w:val="0"/>
                  <w:marBottom w:val="0"/>
                  <w:divBdr>
                    <w:top w:val="none" w:sz="0" w:space="0" w:color="auto"/>
                    <w:left w:val="none" w:sz="0" w:space="0" w:color="auto"/>
                    <w:bottom w:val="none" w:sz="0" w:space="0" w:color="auto"/>
                    <w:right w:val="none" w:sz="0" w:space="0" w:color="auto"/>
                  </w:divBdr>
                </w:div>
                <w:div w:id="1764448497">
                  <w:marLeft w:val="0"/>
                  <w:marRight w:val="0"/>
                  <w:marTop w:val="0"/>
                  <w:marBottom w:val="0"/>
                  <w:divBdr>
                    <w:top w:val="none" w:sz="0" w:space="0" w:color="auto"/>
                    <w:left w:val="none" w:sz="0" w:space="0" w:color="auto"/>
                    <w:bottom w:val="none" w:sz="0" w:space="0" w:color="auto"/>
                    <w:right w:val="none" w:sz="0" w:space="0" w:color="auto"/>
                  </w:divBdr>
                </w:div>
                <w:div w:id="1800368529">
                  <w:marLeft w:val="0"/>
                  <w:marRight w:val="0"/>
                  <w:marTop w:val="0"/>
                  <w:marBottom w:val="0"/>
                  <w:divBdr>
                    <w:top w:val="none" w:sz="0" w:space="0" w:color="auto"/>
                    <w:left w:val="none" w:sz="0" w:space="0" w:color="auto"/>
                    <w:bottom w:val="none" w:sz="0" w:space="0" w:color="auto"/>
                    <w:right w:val="none" w:sz="0" w:space="0" w:color="auto"/>
                  </w:divBdr>
                </w:div>
                <w:div w:id="1814129144">
                  <w:marLeft w:val="0"/>
                  <w:marRight w:val="0"/>
                  <w:marTop w:val="0"/>
                  <w:marBottom w:val="0"/>
                  <w:divBdr>
                    <w:top w:val="none" w:sz="0" w:space="0" w:color="auto"/>
                    <w:left w:val="none" w:sz="0" w:space="0" w:color="auto"/>
                    <w:bottom w:val="none" w:sz="0" w:space="0" w:color="auto"/>
                    <w:right w:val="none" w:sz="0" w:space="0" w:color="auto"/>
                  </w:divBdr>
                </w:div>
                <w:div w:id="1849060597">
                  <w:marLeft w:val="0"/>
                  <w:marRight w:val="0"/>
                  <w:marTop w:val="0"/>
                  <w:marBottom w:val="0"/>
                  <w:divBdr>
                    <w:top w:val="none" w:sz="0" w:space="0" w:color="auto"/>
                    <w:left w:val="none" w:sz="0" w:space="0" w:color="auto"/>
                    <w:bottom w:val="none" w:sz="0" w:space="0" w:color="auto"/>
                    <w:right w:val="none" w:sz="0" w:space="0" w:color="auto"/>
                  </w:divBdr>
                </w:div>
                <w:div w:id="1859806199">
                  <w:marLeft w:val="0"/>
                  <w:marRight w:val="0"/>
                  <w:marTop w:val="0"/>
                  <w:marBottom w:val="0"/>
                  <w:divBdr>
                    <w:top w:val="none" w:sz="0" w:space="0" w:color="auto"/>
                    <w:left w:val="none" w:sz="0" w:space="0" w:color="auto"/>
                    <w:bottom w:val="none" w:sz="0" w:space="0" w:color="auto"/>
                    <w:right w:val="none" w:sz="0" w:space="0" w:color="auto"/>
                  </w:divBdr>
                </w:div>
                <w:div w:id="1874726855">
                  <w:marLeft w:val="0"/>
                  <w:marRight w:val="0"/>
                  <w:marTop w:val="0"/>
                  <w:marBottom w:val="0"/>
                  <w:divBdr>
                    <w:top w:val="none" w:sz="0" w:space="0" w:color="auto"/>
                    <w:left w:val="none" w:sz="0" w:space="0" w:color="auto"/>
                    <w:bottom w:val="none" w:sz="0" w:space="0" w:color="auto"/>
                    <w:right w:val="none" w:sz="0" w:space="0" w:color="auto"/>
                  </w:divBdr>
                </w:div>
                <w:div w:id="1892039140">
                  <w:marLeft w:val="0"/>
                  <w:marRight w:val="0"/>
                  <w:marTop w:val="0"/>
                  <w:marBottom w:val="0"/>
                  <w:divBdr>
                    <w:top w:val="none" w:sz="0" w:space="0" w:color="auto"/>
                    <w:left w:val="none" w:sz="0" w:space="0" w:color="auto"/>
                    <w:bottom w:val="none" w:sz="0" w:space="0" w:color="auto"/>
                    <w:right w:val="none" w:sz="0" w:space="0" w:color="auto"/>
                  </w:divBdr>
                </w:div>
                <w:div w:id="1911191896">
                  <w:marLeft w:val="0"/>
                  <w:marRight w:val="0"/>
                  <w:marTop w:val="0"/>
                  <w:marBottom w:val="0"/>
                  <w:divBdr>
                    <w:top w:val="none" w:sz="0" w:space="0" w:color="auto"/>
                    <w:left w:val="none" w:sz="0" w:space="0" w:color="auto"/>
                    <w:bottom w:val="none" w:sz="0" w:space="0" w:color="auto"/>
                    <w:right w:val="none" w:sz="0" w:space="0" w:color="auto"/>
                  </w:divBdr>
                </w:div>
                <w:div w:id="1916351233">
                  <w:marLeft w:val="0"/>
                  <w:marRight w:val="0"/>
                  <w:marTop w:val="0"/>
                  <w:marBottom w:val="0"/>
                  <w:divBdr>
                    <w:top w:val="none" w:sz="0" w:space="0" w:color="auto"/>
                    <w:left w:val="none" w:sz="0" w:space="0" w:color="auto"/>
                    <w:bottom w:val="none" w:sz="0" w:space="0" w:color="auto"/>
                    <w:right w:val="none" w:sz="0" w:space="0" w:color="auto"/>
                  </w:divBdr>
                </w:div>
                <w:div w:id="2019962407">
                  <w:marLeft w:val="0"/>
                  <w:marRight w:val="0"/>
                  <w:marTop w:val="0"/>
                  <w:marBottom w:val="0"/>
                  <w:divBdr>
                    <w:top w:val="none" w:sz="0" w:space="0" w:color="auto"/>
                    <w:left w:val="none" w:sz="0" w:space="0" w:color="auto"/>
                    <w:bottom w:val="none" w:sz="0" w:space="0" w:color="auto"/>
                    <w:right w:val="none" w:sz="0" w:space="0" w:color="auto"/>
                  </w:divBdr>
                </w:div>
                <w:div w:id="2063475927">
                  <w:marLeft w:val="0"/>
                  <w:marRight w:val="0"/>
                  <w:marTop w:val="0"/>
                  <w:marBottom w:val="0"/>
                  <w:divBdr>
                    <w:top w:val="none" w:sz="0" w:space="0" w:color="auto"/>
                    <w:left w:val="none" w:sz="0" w:space="0" w:color="auto"/>
                    <w:bottom w:val="none" w:sz="0" w:space="0" w:color="auto"/>
                    <w:right w:val="none" w:sz="0" w:space="0" w:color="auto"/>
                  </w:divBdr>
                </w:div>
                <w:div w:id="2100830090">
                  <w:marLeft w:val="0"/>
                  <w:marRight w:val="0"/>
                  <w:marTop w:val="0"/>
                  <w:marBottom w:val="0"/>
                  <w:divBdr>
                    <w:top w:val="none" w:sz="0" w:space="0" w:color="auto"/>
                    <w:left w:val="none" w:sz="0" w:space="0" w:color="auto"/>
                    <w:bottom w:val="none" w:sz="0" w:space="0" w:color="auto"/>
                    <w:right w:val="none" w:sz="0" w:space="0" w:color="auto"/>
                  </w:divBdr>
                </w:div>
                <w:div w:id="2137747916">
                  <w:marLeft w:val="0"/>
                  <w:marRight w:val="0"/>
                  <w:marTop w:val="0"/>
                  <w:marBottom w:val="0"/>
                  <w:divBdr>
                    <w:top w:val="none" w:sz="0" w:space="0" w:color="auto"/>
                    <w:left w:val="none" w:sz="0" w:space="0" w:color="auto"/>
                    <w:bottom w:val="none" w:sz="0" w:space="0" w:color="auto"/>
                    <w:right w:val="none" w:sz="0" w:space="0" w:color="auto"/>
                  </w:divBdr>
                </w:div>
                <w:div w:id="2145922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77585">
      <w:bodyDiv w:val="1"/>
      <w:marLeft w:val="0"/>
      <w:marRight w:val="0"/>
      <w:marTop w:val="0"/>
      <w:marBottom w:val="0"/>
      <w:divBdr>
        <w:top w:val="none" w:sz="0" w:space="0" w:color="auto"/>
        <w:left w:val="none" w:sz="0" w:space="0" w:color="auto"/>
        <w:bottom w:val="none" w:sz="0" w:space="0" w:color="auto"/>
        <w:right w:val="none" w:sz="0" w:space="0" w:color="auto"/>
      </w:divBdr>
    </w:div>
    <w:div w:id="1370452054">
      <w:bodyDiv w:val="1"/>
      <w:marLeft w:val="0"/>
      <w:marRight w:val="0"/>
      <w:marTop w:val="0"/>
      <w:marBottom w:val="0"/>
      <w:divBdr>
        <w:top w:val="none" w:sz="0" w:space="0" w:color="auto"/>
        <w:left w:val="none" w:sz="0" w:space="0" w:color="auto"/>
        <w:bottom w:val="none" w:sz="0" w:space="0" w:color="auto"/>
        <w:right w:val="none" w:sz="0" w:space="0" w:color="auto"/>
      </w:divBdr>
      <w:divsChild>
        <w:div w:id="108278907">
          <w:marLeft w:val="0"/>
          <w:marRight w:val="0"/>
          <w:marTop w:val="0"/>
          <w:marBottom w:val="0"/>
          <w:divBdr>
            <w:top w:val="none" w:sz="0" w:space="0" w:color="auto"/>
            <w:left w:val="none" w:sz="0" w:space="0" w:color="auto"/>
            <w:bottom w:val="none" w:sz="0" w:space="0" w:color="auto"/>
            <w:right w:val="none" w:sz="0" w:space="0" w:color="auto"/>
          </w:divBdr>
        </w:div>
        <w:div w:id="216166429">
          <w:marLeft w:val="0"/>
          <w:marRight w:val="0"/>
          <w:marTop w:val="0"/>
          <w:marBottom w:val="0"/>
          <w:divBdr>
            <w:top w:val="none" w:sz="0" w:space="0" w:color="auto"/>
            <w:left w:val="none" w:sz="0" w:space="0" w:color="auto"/>
            <w:bottom w:val="none" w:sz="0" w:space="0" w:color="auto"/>
            <w:right w:val="none" w:sz="0" w:space="0" w:color="auto"/>
          </w:divBdr>
        </w:div>
        <w:div w:id="433020400">
          <w:marLeft w:val="0"/>
          <w:marRight w:val="0"/>
          <w:marTop w:val="0"/>
          <w:marBottom w:val="0"/>
          <w:divBdr>
            <w:top w:val="none" w:sz="0" w:space="0" w:color="auto"/>
            <w:left w:val="none" w:sz="0" w:space="0" w:color="auto"/>
            <w:bottom w:val="none" w:sz="0" w:space="0" w:color="auto"/>
            <w:right w:val="none" w:sz="0" w:space="0" w:color="auto"/>
          </w:divBdr>
        </w:div>
        <w:div w:id="636112294">
          <w:marLeft w:val="0"/>
          <w:marRight w:val="0"/>
          <w:marTop w:val="0"/>
          <w:marBottom w:val="0"/>
          <w:divBdr>
            <w:top w:val="none" w:sz="0" w:space="0" w:color="auto"/>
            <w:left w:val="none" w:sz="0" w:space="0" w:color="auto"/>
            <w:bottom w:val="none" w:sz="0" w:space="0" w:color="auto"/>
            <w:right w:val="none" w:sz="0" w:space="0" w:color="auto"/>
          </w:divBdr>
        </w:div>
        <w:div w:id="780760583">
          <w:marLeft w:val="0"/>
          <w:marRight w:val="0"/>
          <w:marTop w:val="0"/>
          <w:marBottom w:val="0"/>
          <w:divBdr>
            <w:top w:val="none" w:sz="0" w:space="0" w:color="auto"/>
            <w:left w:val="none" w:sz="0" w:space="0" w:color="auto"/>
            <w:bottom w:val="none" w:sz="0" w:space="0" w:color="auto"/>
            <w:right w:val="none" w:sz="0" w:space="0" w:color="auto"/>
          </w:divBdr>
        </w:div>
        <w:div w:id="834145581">
          <w:marLeft w:val="0"/>
          <w:marRight w:val="0"/>
          <w:marTop w:val="0"/>
          <w:marBottom w:val="0"/>
          <w:divBdr>
            <w:top w:val="none" w:sz="0" w:space="0" w:color="auto"/>
            <w:left w:val="none" w:sz="0" w:space="0" w:color="auto"/>
            <w:bottom w:val="none" w:sz="0" w:space="0" w:color="auto"/>
            <w:right w:val="none" w:sz="0" w:space="0" w:color="auto"/>
          </w:divBdr>
        </w:div>
        <w:div w:id="1002586415">
          <w:marLeft w:val="0"/>
          <w:marRight w:val="0"/>
          <w:marTop w:val="0"/>
          <w:marBottom w:val="0"/>
          <w:divBdr>
            <w:top w:val="none" w:sz="0" w:space="0" w:color="auto"/>
            <w:left w:val="none" w:sz="0" w:space="0" w:color="auto"/>
            <w:bottom w:val="none" w:sz="0" w:space="0" w:color="auto"/>
            <w:right w:val="none" w:sz="0" w:space="0" w:color="auto"/>
          </w:divBdr>
        </w:div>
        <w:div w:id="1147934496">
          <w:marLeft w:val="0"/>
          <w:marRight w:val="0"/>
          <w:marTop w:val="0"/>
          <w:marBottom w:val="0"/>
          <w:divBdr>
            <w:top w:val="none" w:sz="0" w:space="0" w:color="auto"/>
            <w:left w:val="none" w:sz="0" w:space="0" w:color="auto"/>
            <w:bottom w:val="none" w:sz="0" w:space="0" w:color="auto"/>
            <w:right w:val="none" w:sz="0" w:space="0" w:color="auto"/>
          </w:divBdr>
        </w:div>
        <w:div w:id="1445340983">
          <w:marLeft w:val="0"/>
          <w:marRight w:val="0"/>
          <w:marTop w:val="0"/>
          <w:marBottom w:val="0"/>
          <w:divBdr>
            <w:top w:val="none" w:sz="0" w:space="0" w:color="auto"/>
            <w:left w:val="none" w:sz="0" w:space="0" w:color="auto"/>
            <w:bottom w:val="none" w:sz="0" w:space="0" w:color="auto"/>
            <w:right w:val="none" w:sz="0" w:space="0" w:color="auto"/>
          </w:divBdr>
        </w:div>
        <w:div w:id="1570337974">
          <w:marLeft w:val="0"/>
          <w:marRight w:val="0"/>
          <w:marTop w:val="0"/>
          <w:marBottom w:val="0"/>
          <w:divBdr>
            <w:top w:val="none" w:sz="0" w:space="0" w:color="auto"/>
            <w:left w:val="none" w:sz="0" w:space="0" w:color="auto"/>
            <w:bottom w:val="none" w:sz="0" w:space="0" w:color="auto"/>
            <w:right w:val="none" w:sz="0" w:space="0" w:color="auto"/>
          </w:divBdr>
        </w:div>
        <w:div w:id="1578906233">
          <w:marLeft w:val="0"/>
          <w:marRight w:val="0"/>
          <w:marTop w:val="0"/>
          <w:marBottom w:val="0"/>
          <w:divBdr>
            <w:top w:val="none" w:sz="0" w:space="0" w:color="auto"/>
            <w:left w:val="none" w:sz="0" w:space="0" w:color="auto"/>
            <w:bottom w:val="none" w:sz="0" w:space="0" w:color="auto"/>
            <w:right w:val="none" w:sz="0" w:space="0" w:color="auto"/>
          </w:divBdr>
        </w:div>
        <w:div w:id="1807550839">
          <w:marLeft w:val="0"/>
          <w:marRight w:val="0"/>
          <w:marTop w:val="0"/>
          <w:marBottom w:val="0"/>
          <w:divBdr>
            <w:top w:val="none" w:sz="0" w:space="0" w:color="auto"/>
            <w:left w:val="none" w:sz="0" w:space="0" w:color="auto"/>
            <w:bottom w:val="none" w:sz="0" w:space="0" w:color="auto"/>
            <w:right w:val="none" w:sz="0" w:space="0" w:color="auto"/>
          </w:divBdr>
        </w:div>
        <w:div w:id="1978955009">
          <w:marLeft w:val="0"/>
          <w:marRight w:val="0"/>
          <w:marTop w:val="0"/>
          <w:marBottom w:val="0"/>
          <w:divBdr>
            <w:top w:val="none" w:sz="0" w:space="0" w:color="auto"/>
            <w:left w:val="none" w:sz="0" w:space="0" w:color="auto"/>
            <w:bottom w:val="none" w:sz="0" w:space="0" w:color="auto"/>
            <w:right w:val="none" w:sz="0" w:space="0" w:color="auto"/>
          </w:divBdr>
        </w:div>
        <w:div w:id="1995178643">
          <w:marLeft w:val="0"/>
          <w:marRight w:val="0"/>
          <w:marTop w:val="0"/>
          <w:marBottom w:val="0"/>
          <w:divBdr>
            <w:top w:val="none" w:sz="0" w:space="0" w:color="auto"/>
            <w:left w:val="none" w:sz="0" w:space="0" w:color="auto"/>
            <w:bottom w:val="none" w:sz="0" w:space="0" w:color="auto"/>
            <w:right w:val="none" w:sz="0" w:space="0" w:color="auto"/>
          </w:divBdr>
        </w:div>
        <w:div w:id="2114281239">
          <w:marLeft w:val="0"/>
          <w:marRight w:val="0"/>
          <w:marTop w:val="0"/>
          <w:marBottom w:val="0"/>
          <w:divBdr>
            <w:top w:val="none" w:sz="0" w:space="0" w:color="auto"/>
            <w:left w:val="none" w:sz="0" w:space="0" w:color="auto"/>
            <w:bottom w:val="none" w:sz="0" w:space="0" w:color="auto"/>
            <w:right w:val="none" w:sz="0" w:space="0" w:color="auto"/>
          </w:divBdr>
        </w:div>
      </w:divsChild>
    </w:div>
    <w:div w:id="1370497464">
      <w:bodyDiv w:val="1"/>
      <w:marLeft w:val="0"/>
      <w:marRight w:val="0"/>
      <w:marTop w:val="0"/>
      <w:marBottom w:val="0"/>
      <w:divBdr>
        <w:top w:val="none" w:sz="0" w:space="0" w:color="auto"/>
        <w:left w:val="none" w:sz="0" w:space="0" w:color="auto"/>
        <w:bottom w:val="none" w:sz="0" w:space="0" w:color="auto"/>
        <w:right w:val="none" w:sz="0" w:space="0" w:color="auto"/>
      </w:divBdr>
      <w:divsChild>
        <w:div w:id="1729299824">
          <w:marLeft w:val="0"/>
          <w:marRight w:val="0"/>
          <w:marTop w:val="0"/>
          <w:marBottom w:val="0"/>
          <w:divBdr>
            <w:top w:val="none" w:sz="0" w:space="0" w:color="auto"/>
            <w:left w:val="none" w:sz="0" w:space="0" w:color="auto"/>
            <w:bottom w:val="none" w:sz="0" w:space="0" w:color="auto"/>
            <w:right w:val="none" w:sz="0" w:space="0" w:color="auto"/>
          </w:divBdr>
        </w:div>
        <w:div w:id="651370247">
          <w:marLeft w:val="0"/>
          <w:marRight w:val="0"/>
          <w:marTop w:val="0"/>
          <w:marBottom w:val="0"/>
          <w:divBdr>
            <w:top w:val="none" w:sz="0" w:space="0" w:color="auto"/>
            <w:left w:val="none" w:sz="0" w:space="0" w:color="auto"/>
            <w:bottom w:val="none" w:sz="0" w:space="0" w:color="auto"/>
            <w:right w:val="none" w:sz="0" w:space="0" w:color="auto"/>
          </w:divBdr>
        </w:div>
        <w:div w:id="1504393638">
          <w:marLeft w:val="0"/>
          <w:marRight w:val="0"/>
          <w:marTop w:val="0"/>
          <w:marBottom w:val="0"/>
          <w:divBdr>
            <w:top w:val="none" w:sz="0" w:space="0" w:color="auto"/>
            <w:left w:val="none" w:sz="0" w:space="0" w:color="auto"/>
            <w:bottom w:val="none" w:sz="0" w:space="0" w:color="auto"/>
            <w:right w:val="none" w:sz="0" w:space="0" w:color="auto"/>
          </w:divBdr>
        </w:div>
        <w:div w:id="962153318">
          <w:marLeft w:val="0"/>
          <w:marRight w:val="0"/>
          <w:marTop w:val="0"/>
          <w:marBottom w:val="0"/>
          <w:divBdr>
            <w:top w:val="none" w:sz="0" w:space="0" w:color="auto"/>
            <w:left w:val="none" w:sz="0" w:space="0" w:color="auto"/>
            <w:bottom w:val="none" w:sz="0" w:space="0" w:color="auto"/>
            <w:right w:val="none" w:sz="0" w:space="0" w:color="auto"/>
          </w:divBdr>
        </w:div>
        <w:div w:id="721712159">
          <w:marLeft w:val="0"/>
          <w:marRight w:val="0"/>
          <w:marTop w:val="0"/>
          <w:marBottom w:val="0"/>
          <w:divBdr>
            <w:top w:val="none" w:sz="0" w:space="0" w:color="auto"/>
            <w:left w:val="none" w:sz="0" w:space="0" w:color="auto"/>
            <w:bottom w:val="none" w:sz="0" w:space="0" w:color="auto"/>
            <w:right w:val="none" w:sz="0" w:space="0" w:color="auto"/>
          </w:divBdr>
        </w:div>
        <w:div w:id="1846936298">
          <w:marLeft w:val="0"/>
          <w:marRight w:val="0"/>
          <w:marTop w:val="0"/>
          <w:marBottom w:val="0"/>
          <w:divBdr>
            <w:top w:val="none" w:sz="0" w:space="0" w:color="auto"/>
            <w:left w:val="none" w:sz="0" w:space="0" w:color="auto"/>
            <w:bottom w:val="none" w:sz="0" w:space="0" w:color="auto"/>
            <w:right w:val="none" w:sz="0" w:space="0" w:color="auto"/>
          </w:divBdr>
        </w:div>
      </w:divsChild>
    </w:div>
    <w:div w:id="1476948943">
      <w:bodyDiv w:val="1"/>
      <w:marLeft w:val="0"/>
      <w:marRight w:val="0"/>
      <w:marTop w:val="0"/>
      <w:marBottom w:val="0"/>
      <w:divBdr>
        <w:top w:val="none" w:sz="0" w:space="0" w:color="auto"/>
        <w:left w:val="none" w:sz="0" w:space="0" w:color="auto"/>
        <w:bottom w:val="none" w:sz="0" w:space="0" w:color="auto"/>
        <w:right w:val="none" w:sz="0" w:space="0" w:color="auto"/>
      </w:divBdr>
      <w:divsChild>
        <w:div w:id="537088692">
          <w:marLeft w:val="0"/>
          <w:marRight w:val="0"/>
          <w:marTop w:val="15"/>
          <w:marBottom w:val="0"/>
          <w:divBdr>
            <w:top w:val="none" w:sz="0" w:space="0" w:color="auto"/>
            <w:left w:val="none" w:sz="0" w:space="0" w:color="auto"/>
            <w:bottom w:val="none" w:sz="0" w:space="0" w:color="auto"/>
            <w:right w:val="none" w:sz="0" w:space="0" w:color="auto"/>
          </w:divBdr>
          <w:divsChild>
            <w:div w:id="705061258">
              <w:marLeft w:val="0"/>
              <w:marRight w:val="0"/>
              <w:marTop w:val="0"/>
              <w:marBottom w:val="0"/>
              <w:divBdr>
                <w:top w:val="none" w:sz="0" w:space="0" w:color="auto"/>
                <w:left w:val="none" w:sz="0" w:space="0" w:color="auto"/>
                <w:bottom w:val="none" w:sz="0" w:space="0" w:color="auto"/>
                <w:right w:val="none" w:sz="0" w:space="0" w:color="auto"/>
              </w:divBdr>
              <w:divsChild>
                <w:div w:id="58794789">
                  <w:marLeft w:val="0"/>
                  <w:marRight w:val="0"/>
                  <w:marTop w:val="0"/>
                  <w:marBottom w:val="0"/>
                  <w:divBdr>
                    <w:top w:val="none" w:sz="0" w:space="0" w:color="auto"/>
                    <w:left w:val="none" w:sz="0" w:space="0" w:color="auto"/>
                    <w:bottom w:val="none" w:sz="0" w:space="0" w:color="auto"/>
                    <w:right w:val="none" w:sz="0" w:space="0" w:color="auto"/>
                  </w:divBdr>
                </w:div>
                <w:div w:id="237324951">
                  <w:marLeft w:val="0"/>
                  <w:marRight w:val="0"/>
                  <w:marTop w:val="0"/>
                  <w:marBottom w:val="0"/>
                  <w:divBdr>
                    <w:top w:val="none" w:sz="0" w:space="0" w:color="auto"/>
                    <w:left w:val="none" w:sz="0" w:space="0" w:color="auto"/>
                    <w:bottom w:val="none" w:sz="0" w:space="0" w:color="auto"/>
                    <w:right w:val="none" w:sz="0" w:space="0" w:color="auto"/>
                  </w:divBdr>
                </w:div>
                <w:div w:id="407729387">
                  <w:marLeft w:val="0"/>
                  <w:marRight w:val="0"/>
                  <w:marTop w:val="0"/>
                  <w:marBottom w:val="0"/>
                  <w:divBdr>
                    <w:top w:val="none" w:sz="0" w:space="0" w:color="auto"/>
                    <w:left w:val="none" w:sz="0" w:space="0" w:color="auto"/>
                    <w:bottom w:val="none" w:sz="0" w:space="0" w:color="auto"/>
                    <w:right w:val="none" w:sz="0" w:space="0" w:color="auto"/>
                  </w:divBdr>
                </w:div>
                <w:div w:id="691758414">
                  <w:marLeft w:val="0"/>
                  <w:marRight w:val="0"/>
                  <w:marTop w:val="0"/>
                  <w:marBottom w:val="0"/>
                  <w:divBdr>
                    <w:top w:val="none" w:sz="0" w:space="0" w:color="auto"/>
                    <w:left w:val="none" w:sz="0" w:space="0" w:color="auto"/>
                    <w:bottom w:val="none" w:sz="0" w:space="0" w:color="auto"/>
                    <w:right w:val="none" w:sz="0" w:space="0" w:color="auto"/>
                  </w:divBdr>
                </w:div>
                <w:div w:id="139778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3378479">
          <w:marLeft w:val="0"/>
          <w:marRight w:val="0"/>
          <w:marTop w:val="15"/>
          <w:marBottom w:val="0"/>
          <w:divBdr>
            <w:top w:val="none" w:sz="0" w:space="0" w:color="auto"/>
            <w:left w:val="none" w:sz="0" w:space="0" w:color="auto"/>
            <w:bottom w:val="none" w:sz="0" w:space="0" w:color="auto"/>
            <w:right w:val="none" w:sz="0" w:space="0" w:color="auto"/>
          </w:divBdr>
        </w:div>
      </w:divsChild>
    </w:div>
    <w:div w:id="1491363566">
      <w:bodyDiv w:val="1"/>
      <w:marLeft w:val="0"/>
      <w:marRight w:val="0"/>
      <w:marTop w:val="0"/>
      <w:marBottom w:val="0"/>
      <w:divBdr>
        <w:top w:val="none" w:sz="0" w:space="0" w:color="auto"/>
        <w:left w:val="none" w:sz="0" w:space="0" w:color="auto"/>
        <w:bottom w:val="none" w:sz="0" w:space="0" w:color="auto"/>
        <w:right w:val="none" w:sz="0" w:space="0" w:color="auto"/>
      </w:divBdr>
      <w:divsChild>
        <w:div w:id="716589964">
          <w:marLeft w:val="0"/>
          <w:marRight w:val="0"/>
          <w:marTop w:val="0"/>
          <w:marBottom w:val="0"/>
          <w:divBdr>
            <w:top w:val="none" w:sz="0" w:space="0" w:color="auto"/>
            <w:left w:val="none" w:sz="0" w:space="0" w:color="auto"/>
            <w:bottom w:val="none" w:sz="0" w:space="0" w:color="auto"/>
            <w:right w:val="none" w:sz="0" w:space="0" w:color="auto"/>
          </w:divBdr>
          <w:divsChild>
            <w:div w:id="538779017">
              <w:marLeft w:val="3225"/>
              <w:marRight w:val="0"/>
              <w:marTop w:val="0"/>
              <w:marBottom w:val="0"/>
              <w:divBdr>
                <w:top w:val="none" w:sz="0" w:space="0" w:color="auto"/>
                <w:left w:val="none" w:sz="0" w:space="0" w:color="auto"/>
                <w:bottom w:val="none" w:sz="0" w:space="0" w:color="auto"/>
                <w:right w:val="none" w:sz="0" w:space="0" w:color="auto"/>
              </w:divBdr>
              <w:divsChild>
                <w:div w:id="882474210">
                  <w:marLeft w:val="90"/>
                  <w:marRight w:val="0"/>
                  <w:marTop w:val="0"/>
                  <w:marBottom w:val="0"/>
                  <w:divBdr>
                    <w:top w:val="single" w:sz="6" w:space="0" w:color="EEEEEE"/>
                    <w:left w:val="none" w:sz="0" w:space="0" w:color="auto"/>
                    <w:bottom w:val="none" w:sz="0" w:space="0" w:color="auto"/>
                    <w:right w:val="none" w:sz="0" w:space="0" w:color="auto"/>
                  </w:divBdr>
                  <w:divsChild>
                    <w:div w:id="93482243">
                      <w:marLeft w:val="0"/>
                      <w:marRight w:val="0"/>
                      <w:marTop w:val="0"/>
                      <w:marBottom w:val="0"/>
                      <w:divBdr>
                        <w:top w:val="none" w:sz="0" w:space="0" w:color="auto"/>
                        <w:left w:val="none" w:sz="0" w:space="0" w:color="auto"/>
                        <w:bottom w:val="none" w:sz="0" w:space="0" w:color="auto"/>
                        <w:right w:val="none" w:sz="0" w:space="0" w:color="auto"/>
                      </w:divBdr>
                      <w:divsChild>
                        <w:div w:id="1415132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43326562">
      <w:bodyDiv w:val="1"/>
      <w:marLeft w:val="0"/>
      <w:marRight w:val="0"/>
      <w:marTop w:val="0"/>
      <w:marBottom w:val="0"/>
      <w:divBdr>
        <w:top w:val="none" w:sz="0" w:space="0" w:color="auto"/>
        <w:left w:val="none" w:sz="0" w:space="0" w:color="auto"/>
        <w:bottom w:val="none" w:sz="0" w:space="0" w:color="auto"/>
        <w:right w:val="none" w:sz="0" w:space="0" w:color="auto"/>
      </w:divBdr>
      <w:divsChild>
        <w:div w:id="1262176884">
          <w:marLeft w:val="0"/>
          <w:marRight w:val="0"/>
          <w:marTop w:val="0"/>
          <w:marBottom w:val="0"/>
          <w:divBdr>
            <w:top w:val="none" w:sz="0" w:space="0" w:color="auto"/>
            <w:left w:val="none" w:sz="0" w:space="0" w:color="auto"/>
            <w:bottom w:val="none" w:sz="0" w:space="0" w:color="auto"/>
            <w:right w:val="none" w:sz="0" w:space="0" w:color="auto"/>
          </w:divBdr>
        </w:div>
        <w:div w:id="1547715887">
          <w:marLeft w:val="0"/>
          <w:marRight w:val="0"/>
          <w:marTop w:val="0"/>
          <w:marBottom w:val="0"/>
          <w:divBdr>
            <w:top w:val="none" w:sz="0" w:space="0" w:color="auto"/>
            <w:left w:val="none" w:sz="0" w:space="0" w:color="auto"/>
            <w:bottom w:val="none" w:sz="0" w:space="0" w:color="auto"/>
            <w:right w:val="none" w:sz="0" w:space="0" w:color="auto"/>
          </w:divBdr>
        </w:div>
      </w:divsChild>
    </w:div>
    <w:div w:id="1580091616">
      <w:bodyDiv w:val="1"/>
      <w:marLeft w:val="0"/>
      <w:marRight w:val="0"/>
      <w:marTop w:val="0"/>
      <w:marBottom w:val="0"/>
      <w:divBdr>
        <w:top w:val="none" w:sz="0" w:space="0" w:color="auto"/>
        <w:left w:val="none" w:sz="0" w:space="0" w:color="auto"/>
        <w:bottom w:val="none" w:sz="0" w:space="0" w:color="auto"/>
        <w:right w:val="none" w:sz="0" w:space="0" w:color="auto"/>
      </w:divBdr>
    </w:div>
    <w:div w:id="1592278399">
      <w:bodyDiv w:val="1"/>
      <w:marLeft w:val="0"/>
      <w:marRight w:val="0"/>
      <w:marTop w:val="0"/>
      <w:marBottom w:val="0"/>
      <w:divBdr>
        <w:top w:val="none" w:sz="0" w:space="0" w:color="auto"/>
        <w:left w:val="none" w:sz="0" w:space="0" w:color="auto"/>
        <w:bottom w:val="none" w:sz="0" w:space="0" w:color="auto"/>
        <w:right w:val="none" w:sz="0" w:space="0" w:color="auto"/>
      </w:divBdr>
      <w:divsChild>
        <w:div w:id="1364745805">
          <w:marLeft w:val="0"/>
          <w:marRight w:val="0"/>
          <w:marTop w:val="0"/>
          <w:marBottom w:val="0"/>
          <w:divBdr>
            <w:top w:val="none" w:sz="0" w:space="0" w:color="auto"/>
            <w:left w:val="none" w:sz="0" w:space="0" w:color="auto"/>
            <w:bottom w:val="none" w:sz="0" w:space="0" w:color="auto"/>
            <w:right w:val="none" w:sz="0" w:space="0" w:color="auto"/>
          </w:divBdr>
          <w:divsChild>
            <w:div w:id="716929174">
              <w:marLeft w:val="3225"/>
              <w:marRight w:val="0"/>
              <w:marTop w:val="0"/>
              <w:marBottom w:val="0"/>
              <w:divBdr>
                <w:top w:val="none" w:sz="0" w:space="0" w:color="auto"/>
                <w:left w:val="none" w:sz="0" w:space="0" w:color="auto"/>
                <w:bottom w:val="none" w:sz="0" w:space="0" w:color="auto"/>
                <w:right w:val="none" w:sz="0" w:space="0" w:color="auto"/>
              </w:divBdr>
              <w:divsChild>
                <w:div w:id="542330573">
                  <w:marLeft w:val="90"/>
                  <w:marRight w:val="0"/>
                  <w:marTop w:val="0"/>
                  <w:marBottom w:val="0"/>
                  <w:divBdr>
                    <w:top w:val="single" w:sz="6" w:space="0" w:color="EEEEEE"/>
                    <w:left w:val="none" w:sz="0" w:space="0" w:color="auto"/>
                    <w:bottom w:val="none" w:sz="0" w:space="0" w:color="auto"/>
                    <w:right w:val="none" w:sz="0" w:space="0" w:color="auto"/>
                  </w:divBdr>
                  <w:divsChild>
                    <w:div w:id="1160541777">
                      <w:marLeft w:val="0"/>
                      <w:marRight w:val="0"/>
                      <w:marTop w:val="0"/>
                      <w:marBottom w:val="0"/>
                      <w:divBdr>
                        <w:top w:val="none" w:sz="0" w:space="0" w:color="auto"/>
                        <w:left w:val="none" w:sz="0" w:space="0" w:color="auto"/>
                        <w:bottom w:val="none" w:sz="0" w:space="0" w:color="auto"/>
                        <w:right w:val="none" w:sz="0" w:space="0" w:color="auto"/>
                      </w:divBdr>
                      <w:divsChild>
                        <w:div w:id="146442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2224869">
      <w:bodyDiv w:val="1"/>
      <w:marLeft w:val="0"/>
      <w:marRight w:val="0"/>
      <w:marTop w:val="0"/>
      <w:marBottom w:val="0"/>
      <w:divBdr>
        <w:top w:val="none" w:sz="0" w:space="0" w:color="auto"/>
        <w:left w:val="none" w:sz="0" w:space="0" w:color="auto"/>
        <w:bottom w:val="none" w:sz="0" w:space="0" w:color="auto"/>
        <w:right w:val="none" w:sz="0" w:space="0" w:color="auto"/>
      </w:divBdr>
      <w:divsChild>
        <w:div w:id="16389601">
          <w:marLeft w:val="0"/>
          <w:marRight w:val="0"/>
          <w:marTop w:val="0"/>
          <w:marBottom w:val="0"/>
          <w:divBdr>
            <w:top w:val="none" w:sz="0" w:space="0" w:color="auto"/>
            <w:left w:val="none" w:sz="0" w:space="0" w:color="auto"/>
            <w:bottom w:val="none" w:sz="0" w:space="0" w:color="auto"/>
            <w:right w:val="none" w:sz="0" w:space="0" w:color="auto"/>
          </w:divBdr>
        </w:div>
        <w:div w:id="66148446">
          <w:marLeft w:val="0"/>
          <w:marRight w:val="0"/>
          <w:marTop w:val="0"/>
          <w:marBottom w:val="0"/>
          <w:divBdr>
            <w:top w:val="none" w:sz="0" w:space="0" w:color="auto"/>
            <w:left w:val="none" w:sz="0" w:space="0" w:color="auto"/>
            <w:bottom w:val="none" w:sz="0" w:space="0" w:color="auto"/>
            <w:right w:val="none" w:sz="0" w:space="0" w:color="auto"/>
          </w:divBdr>
        </w:div>
        <w:div w:id="194999558">
          <w:marLeft w:val="0"/>
          <w:marRight w:val="0"/>
          <w:marTop w:val="0"/>
          <w:marBottom w:val="0"/>
          <w:divBdr>
            <w:top w:val="none" w:sz="0" w:space="0" w:color="auto"/>
            <w:left w:val="none" w:sz="0" w:space="0" w:color="auto"/>
            <w:bottom w:val="none" w:sz="0" w:space="0" w:color="auto"/>
            <w:right w:val="none" w:sz="0" w:space="0" w:color="auto"/>
          </w:divBdr>
        </w:div>
        <w:div w:id="238364767">
          <w:marLeft w:val="0"/>
          <w:marRight w:val="0"/>
          <w:marTop w:val="0"/>
          <w:marBottom w:val="0"/>
          <w:divBdr>
            <w:top w:val="none" w:sz="0" w:space="0" w:color="auto"/>
            <w:left w:val="none" w:sz="0" w:space="0" w:color="auto"/>
            <w:bottom w:val="none" w:sz="0" w:space="0" w:color="auto"/>
            <w:right w:val="none" w:sz="0" w:space="0" w:color="auto"/>
          </w:divBdr>
        </w:div>
        <w:div w:id="493840453">
          <w:marLeft w:val="0"/>
          <w:marRight w:val="0"/>
          <w:marTop w:val="0"/>
          <w:marBottom w:val="0"/>
          <w:divBdr>
            <w:top w:val="none" w:sz="0" w:space="0" w:color="auto"/>
            <w:left w:val="none" w:sz="0" w:space="0" w:color="auto"/>
            <w:bottom w:val="none" w:sz="0" w:space="0" w:color="auto"/>
            <w:right w:val="none" w:sz="0" w:space="0" w:color="auto"/>
          </w:divBdr>
        </w:div>
        <w:div w:id="521938743">
          <w:marLeft w:val="0"/>
          <w:marRight w:val="0"/>
          <w:marTop w:val="0"/>
          <w:marBottom w:val="0"/>
          <w:divBdr>
            <w:top w:val="none" w:sz="0" w:space="0" w:color="auto"/>
            <w:left w:val="none" w:sz="0" w:space="0" w:color="auto"/>
            <w:bottom w:val="none" w:sz="0" w:space="0" w:color="auto"/>
            <w:right w:val="none" w:sz="0" w:space="0" w:color="auto"/>
          </w:divBdr>
        </w:div>
        <w:div w:id="696779552">
          <w:marLeft w:val="0"/>
          <w:marRight w:val="0"/>
          <w:marTop w:val="0"/>
          <w:marBottom w:val="0"/>
          <w:divBdr>
            <w:top w:val="none" w:sz="0" w:space="0" w:color="auto"/>
            <w:left w:val="none" w:sz="0" w:space="0" w:color="auto"/>
            <w:bottom w:val="none" w:sz="0" w:space="0" w:color="auto"/>
            <w:right w:val="none" w:sz="0" w:space="0" w:color="auto"/>
          </w:divBdr>
        </w:div>
        <w:div w:id="748693865">
          <w:marLeft w:val="0"/>
          <w:marRight w:val="0"/>
          <w:marTop w:val="0"/>
          <w:marBottom w:val="0"/>
          <w:divBdr>
            <w:top w:val="none" w:sz="0" w:space="0" w:color="auto"/>
            <w:left w:val="none" w:sz="0" w:space="0" w:color="auto"/>
            <w:bottom w:val="none" w:sz="0" w:space="0" w:color="auto"/>
            <w:right w:val="none" w:sz="0" w:space="0" w:color="auto"/>
          </w:divBdr>
        </w:div>
        <w:div w:id="880901141">
          <w:marLeft w:val="0"/>
          <w:marRight w:val="0"/>
          <w:marTop w:val="0"/>
          <w:marBottom w:val="0"/>
          <w:divBdr>
            <w:top w:val="none" w:sz="0" w:space="0" w:color="auto"/>
            <w:left w:val="none" w:sz="0" w:space="0" w:color="auto"/>
            <w:bottom w:val="none" w:sz="0" w:space="0" w:color="auto"/>
            <w:right w:val="none" w:sz="0" w:space="0" w:color="auto"/>
          </w:divBdr>
        </w:div>
        <w:div w:id="963075797">
          <w:marLeft w:val="0"/>
          <w:marRight w:val="0"/>
          <w:marTop w:val="0"/>
          <w:marBottom w:val="0"/>
          <w:divBdr>
            <w:top w:val="none" w:sz="0" w:space="0" w:color="auto"/>
            <w:left w:val="none" w:sz="0" w:space="0" w:color="auto"/>
            <w:bottom w:val="none" w:sz="0" w:space="0" w:color="auto"/>
            <w:right w:val="none" w:sz="0" w:space="0" w:color="auto"/>
          </w:divBdr>
        </w:div>
        <w:div w:id="974723124">
          <w:marLeft w:val="0"/>
          <w:marRight w:val="0"/>
          <w:marTop w:val="0"/>
          <w:marBottom w:val="0"/>
          <w:divBdr>
            <w:top w:val="none" w:sz="0" w:space="0" w:color="auto"/>
            <w:left w:val="none" w:sz="0" w:space="0" w:color="auto"/>
            <w:bottom w:val="none" w:sz="0" w:space="0" w:color="auto"/>
            <w:right w:val="none" w:sz="0" w:space="0" w:color="auto"/>
          </w:divBdr>
        </w:div>
        <w:div w:id="1050810226">
          <w:marLeft w:val="0"/>
          <w:marRight w:val="0"/>
          <w:marTop w:val="0"/>
          <w:marBottom w:val="0"/>
          <w:divBdr>
            <w:top w:val="none" w:sz="0" w:space="0" w:color="auto"/>
            <w:left w:val="none" w:sz="0" w:space="0" w:color="auto"/>
            <w:bottom w:val="none" w:sz="0" w:space="0" w:color="auto"/>
            <w:right w:val="none" w:sz="0" w:space="0" w:color="auto"/>
          </w:divBdr>
        </w:div>
        <w:div w:id="1062364703">
          <w:marLeft w:val="0"/>
          <w:marRight w:val="0"/>
          <w:marTop w:val="0"/>
          <w:marBottom w:val="0"/>
          <w:divBdr>
            <w:top w:val="none" w:sz="0" w:space="0" w:color="auto"/>
            <w:left w:val="none" w:sz="0" w:space="0" w:color="auto"/>
            <w:bottom w:val="none" w:sz="0" w:space="0" w:color="auto"/>
            <w:right w:val="none" w:sz="0" w:space="0" w:color="auto"/>
          </w:divBdr>
        </w:div>
        <w:div w:id="1110247870">
          <w:marLeft w:val="0"/>
          <w:marRight w:val="0"/>
          <w:marTop w:val="0"/>
          <w:marBottom w:val="0"/>
          <w:divBdr>
            <w:top w:val="none" w:sz="0" w:space="0" w:color="auto"/>
            <w:left w:val="none" w:sz="0" w:space="0" w:color="auto"/>
            <w:bottom w:val="none" w:sz="0" w:space="0" w:color="auto"/>
            <w:right w:val="none" w:sz="0" w:space="0" w:color="auto"/>
          </w:divBdr>
        </w:div>
        <w:div w:id="1124689495">
          <w:marLeft w:val="0"/>
          <w:marRight w:val="0"/>
          <w:marTop w:val="0"/>
          <w:marBottom w:val="0"/>
          <w:divBdr>
            <w:top w:val="none" w:sz="0" w:space="0" w:color="auto"/>
            <w:left w:val="none" w:sz="0" w:space="0" w:color="auto"/>
            <w:bottom w:val="none" w:sz="0" w:space="0" w:color="auto"/>
            <w:right w:val="none" w:sz="0" w:space="0" w:color="auto"/>
          </w:divBdr>
        </w:div>
        <w:div w:id="1293095573">
          <w:marLeft w:val="0"/>
          <w:marRight w:val="0"/>
          <w:marTop w:val="0"/>
          <w:marBottom w:val="0"/>
          <w:divBdr>
            <w:top w:val="none" w:sz="0" w:space="0" w:color="auto"/>
            <w:left w:val="none" w:sz="0" w:space="0" w:color="auto"/>
            <w:bottom w:val="none" w:sz="0" w:space="0" w:color="auto"/>
            <w:right w:val="none" w:sz="0" w:space="0" w:color="auto"/>
          </w:divBdr>
        </w:div>
        <w:div w:id="1402950141">
          <w:marLeft w:val="0"/>
          <w:marRight w:val="0"/>
          <w:marTop w:val="0"/>
          <w:marBottom w:val="0"/>
          <w:divBdr>
            <w:top w:val="none" w:sz="0" w:space="0" w:color="auto"/>
            <w:left w:val="none" w:sz="0" w:space="0" w:color="auto"/>
            <w:bottom w:val="none" w:sz="0" w:space="0" w:color="auto"/>
            <w:right w:val="none" w:sz="0" w:space="0" w:color="auto"/>
          </w:divBdr>
        </w:div>
        <w:div w:id="1403796375">
          <w:marLeft w:val="0"/>
          <w:marRight w:val="0"/>
          <w:marTop w:val="0"/>
          <w:marBottom w:val="0"/>
          <w:divBdr>
            <w:top w:val="none" w:sz="0" w:space="0" w:color="auto"/>
            <w:left w:val="none" w:sz="0" w:space="0" w:color="auto"/>
            <w:bottom w:val="none" w:sz="0" w:space="0" w:color="auto"/>
            <w:right w:val="none" w:sz="0" w:space="0" w:color="auto"/>
          </w:divBdr>
        </w:div>
        <w:div w:id="1480656680">
          <w:marLeft w:val="0"/>
          <w:marRight w:val="0"/>
          <w:marTop w:val="0"/>
          <w:marBottom w:val="0"/>
          <w:divBdr>
            <w:top w:val="none" w:sz="0" w:space="0" w:color="auto"/>
            <w:left w:val="none" w:sz="0" w:space="0" w:color="auto"/>
            <w:bottom w:val="none" w:sz="0" w:space="0" w:color="auto"/>
            <w:right w:val="none" w:sz="0" w:space="0" w:color="auto"/>
          </w:divBdr>
        </w:div>
        <w:div w:id="1483426149">
          <w:marLeft w:val="0"/>
          <w:marRight w:val="0"/>
          <w:marTop w:val="0"/>
          <w:marBottom w:val="0"/>
          <w:divBdr>
            <w:top w:val="none" w:sz="0" w:space="0" w:color="auto"/>
            <w:left w:val="none" w:sz="0" w:space="0" w:color="auto"/>
            <w:bottom w:val="none" w:sz="0" w:space="0" w:color="auto"/>
            <w:right w:val="none" w:sz="0" w:space="0" w:color="auto"/>
          </w:divBdr>
        </w:div>
        <w:div w:id="1500197921">
          <w:marLeft w:val="0"/>
          <w:marRight w:val="0"/>
          <w:marTop w:val="0"/>
          <w:marBottom w:val="0"/>
          <w:divBdr>
            <w:top w:val="none" w:sz="0" w:space="0" w:color="auto"/>
            <w:left w:val="none" w:sz="0" w:space="0" w:color="auto"/>
            <w:bottom w:val="none" w:sz="0" w:space="0" w:color="auto"/>
            <w:right w:val="none" w:sz="0" w:space="0" w:color="auto"/>
          </w:divBdr>
        </w:div>
        <w:div w:id="1503738992">
          <w:marLeft w:val="0"/>
          <w:marRight w:val="0"/>
          <w:marTop w:val="0"/>
          <w:marBottom w:val="0"/>
          <w:divBdr>
            <w:top w:val="none" w:sz="0" w:space="0" w:color="auto"/>
            <w:left w:val="none" w:sz="0" w:space="0" w:color="auto"/>
            <w:bottom w:val="none" w:sz="0" w:space="0" w:color="auto"/>
            <w:right w:val="none" w:sz="0" w:space="0" w:color="auto"/>
          </w:divBdr>
        </w:div>
        <w:div w:id="1527675004">
          <w:marLeft w:val="0"/>
          <w:marRight w:val="0"/>
          <w:marTop w:val="0"/>
          <w:marBottom w:val="0"/>
          <w:divBdr>
            <w:top w:val="none" w:sz="0" w:space="0" w:color="auto"/>
            <w:left w:val="none" w:sz="0" w:space="0" w:color="auto"/>
            <w:bottom w:val="none" w:sz="0" w:space="0" w:color="auto"/>
            <w:right w:val="none" w:sz="0" w:space="0" w:color="auto"/>
          </w:divBdr>
        </w:div>
        <w:div w:id="1791702967">
          <w:marLeft w:val="0"/>
          <w:marRight w:val="0"/>
          <w:marTop w:val="0"/>
          <w:marBottom w:val="0"/>
          <w:divBdr>
            <w:top w:val="none" w:sz="0" w:space="0" w:color="auto"/>
            <w:left w:val="none" w:sz="0" w:space="0" w:color="auto"/>
            <w:bottom w:val="none" w:sz="0" w:space="0" w:color="auto"/>
            <w:right w:val="none" w:sz="0" w:space="0" w:color="auto"/>
          </w:divBdr>
        </w:div>
        <w:div w:id="1914586328">
          <w:marLeft w:val="0"/>
          <w:marRight w:val="0"/>
          <w:marTop w:val="0"/>
          <w:marBottom w:val="0"/>
          <w:divBdr>
            <w:top w:val="none" w:sz="0" w:space="0" w:color="auto"/>
            <w:left w:val="none" w:sz="0" w:space="0" w:color="auto"/>
            <w:bottom w:val="none" w:sz="0" w:space="0" w:color="auto"/>
            <w:right w:val="none" w:sz="0" w:space="0" w:color="auto"/>
          </w:divBdr>
        </w:div>
        <w:div w:id="2018533387">
          <w:marLeft w:val="0"/>
          <w:marRight w:val="0"/>
          <w:marTop w:val="0"/>
          <w:marBottom w:val="0"/>
          <w:divBdr>
            <w:top w:val="none" w:sz="0" w:space="0" w:color="auto"/>
            <w:left w:val="none" w:sz="0" w:space="0" w:color="auto"/>
            <w:bottom w:val="none" w:sz="0" w:space="0" w:color="auto"/>
            <w:right w:val="none" w:sz="0" w:space="0" w:color="auto"/>
          </w:divBdr>
        </w:div>
        <w:div w:id="2064450859">
          <w:marLeft w:val="0"/>
          <w:marRight w:val="0"/>
          <w:marTop w:val="0"/>
          <w:marBottom w:val="0"/>
          <w:divBdr>
            <w:top w:val="none" w:sz="0" w:space="0" w:color="auto"/>
            <w:left w:val="none" w:sz="0" w:space="0" w:color="auto"/>
            <w:bottom w:val="none" w:sz="0" w:space="0" w:color="auto"/>
            <w:right w:val="none" w:sz="0" w:space="0" w:color="auto"/>
          </w:divBdr>
        </w:div>
        <w:div w:id="2139490634">
          <w:marLeft w:val="0"/>
          <w:marRight w:val="0"/>
          <w:marTop w:val="0"/>
          <w:marBottom w:val="0"/>
          <w:divBdr>
            <w:top w:val="none" w:sz="0" w:space="0" w:color="auto"/>
            <w:left w:val="none" w:sz="0" w:space="0" w:color="auto"/>
            <w:bottom w:val="none" w:sz="0" w:space="0" w:color="auto"/>
            <w:right w:val="none" w:sz="0" w:space="0" w:color="auto"/>
          </w:divBdr>
        </w:div>
      </w:divsChild>
    </w:div>
    <w:div w:id="1639606342">
      <w:bodyDiv w:val="1"/>
      <w:marLeft w:val="0"/>
      <w:marRight w:val="0"/>
      <w:marTop w:val="0"/>
      <w:marBottom w:val="0"/>
      <w:divBdr>
        <w:top w:val="none" w:sz="0" w:space="0" w:color="auto"/>
        <w:left w:val="none" w:sz="0" w:space="0" w:color="auto"/>
        <w:bottom w:val="none" w:sz="0" w:space="0" w:color="auto"/>
        <w:right w:val="none" w:sz="0" w:space="0" w:color="auto"/>
      </w:divBdr>
      <w:divsChild>
        <w:div w:id="25061178">
          <w:marLeft w:val="0"/>
          <w:marRight w:val="0"/>
          <w:marTop w:val="0"/>
          <w:marBottom w:val="0"/>
          <w:divBdr>
            <w:top w:val="none" w:sz="0" w:space="0" w:color="auto"/>
            <w:left w:val="none" w:sz="0" w:space="0" w:color="auto"/>
            <w:bottom w:val="none" w:sz="0" w:space="0" w:color="auto"/>
            <w:right w:val="none" w:sz="0" w:space="0" w:color="auto"/>
          </w:divBdr>
        </w:div>
        <w:div w:id="75174674">
          <w:marLeft w:val="0"/>
          <w:marRight w:val="0"/>
          <w:marTop w:val="0"/>
          <w:marBottom w:val="0"/>
          <w:divBdr>
            <w:top w:val="none" w:sz="0" w:space="0" w:color="auto"/>
            <w:left w:val="none" w:sz="0" w:space="0" w:color="auto"/>
            <w:bottom w:val="none" w:sz="0" w:space="0" w:color="auto"/>
            <w:right w:val="none" w:sz="0" w:space="0" w:color="auto"/>
          </w:divBdr>
        </w:div>
        <w:div w:id="735205411">
          <w:marLeft w:val="0"/>
          <w:marRight w:val="0"/>
          <w:marTop w:val="0"/>
          <w:marBottom w:val="0"/>
          <w:divBdr>
            <w:top w:val="none" w:sz="0" w:space="0" w:color="auto"/>
            <w:left w:val="none" w:sz="0" w:space="0" w:color="auto"/>
            <w:bottom w:val="none" w:sz="0" w:space="0" w:color="auto"/>
            <w:right w:val="none" w:sz="0" w:space="0" w:color="auto"/>
          </w:divBdr>
        </w:div>
        <w:div w:id="852961901">
          <w:marLeft w:val="0"/>
          <w:marRight w:val="0"/>
          <w:marTop w:val="0"/>
          <w:marBottom w:val="0"/>
          <w:divBdr>
            <w:top w:val="none" w:sz="0" w:space="0" w:color="auto"/>
            <w:left w:val="none" w:sz="0" w:space="0" w:color="auto"/>
            <w:bottom w:val="none" w:sz="0" w:space="0" w:color="auto"/>
            <w:right w:val="none" w:sz="0" w:space="0" w:color="auto"/>
          </w:divBdr>
        </w:div>
        <w:div w:id="875771297">
          <w:marLeft w:val="0"/>
          <w:marRight w:val="0"/>
          <w:marTop w:val="0"/>
          <w:marBottom w:val="0"/>
          <w:divBdr>
            <w:top w:val="none" w:sz="0" w:space="0" w:color="auto"/>
            <w:left w:val="none" w:sz="0" w:space="0" w:color="auto"/>
            <w:bottom w:val="none" w:sz="0" w:space="0" w:color="auto"/>
            <w:right w:val="none" w:sz="0" w:space="0" w:color="auto"/>
          </w:divBdr>
        </w:div>
        <w:div w:id="996809625">
          <w:marLeft w:val="0"/>
          <w:marRight w:val="0"/>
          <w:marTop w:val="0"/>
          <w:marBottom w:val="0"/>
          <w:divBdr>
            <w:top w:val="none" w:sz="0" w:space="0" w:color="auto"/>
            <w:left w:val="none" w:sz="0" w:space="0" w:color="auto"/>
            <w:bottom w:val="none" w:sz="0" w:space="0" w:color="auto"/>
            <w:right w:val="none" w:sz="0" w:space="0" w:color="auto"/>
          </w:divBdr>
        </w:div>
        <w:div w:id="1147092314">
          <w:marLeft w:val="0"/>
          <w:marRight w:val="0"/>
          <w:marTop w:val="0"/>
          <w:marBottom w:val="0"/>
          <w:divBdr>
            <w:top w:val="none" w:sz="0" w:space="0" w:color="auto"/>
            <w:left w:val="none" w:sz="0" w:space="0" w:color="auto"/>
            <w:bottom w:val="none" w:sz="0" w:space="0" w:color="auto"/>
            <w:right w:val="none" w:sz="0" w:space="0" w:color="auto"/>
          </w:divBdr>
        </w:div>
        <w:div w:id="1151487758">
          <w:marLeft w:val="0"/>
          <w:marRight w:val="0"/>
          <w:marTop w:val="0"/>
          <w:marBottom w:val="0"/>
          <w:divBdr>
            <w:top w:val="none" w:sz="0" w:space="0" w:color="auto"/>
            <w:left w:val="none" w:sz="0" w:space="0" w:color="auto"/>
            <w:bottom w:val="none" w:sz="0" w:space="0" w:color="auto"/>
            <w:right w:val="none" w:sz="0" w:space="0" w:color="auto"/>
          </w:divBdr>
        </w:div>
        <w:div w:id="1180119101">
          <w:marLeft w:val="0"/>
          <w:marRight w:val="0"/>
          <w:marTop w:val="0"/>
          <w:marBottom w:val="0"/>
          <w:divBdr>
            <w:top w:val="none" w:sz="0" w:space="0" w:color="auto"/>
            <w:left w:val="none" w:sz="0" w:space="0" w:color="auto"/>
            <w:bottom w:val="none" w:sz="0" w:space="0" w:color="auto"/>
            <w:right w:val="none" w:sz="0" w:space="0" w:color="auto"/>
          </w:divBdr>
        </w:div>
        <w:div w:id="1202939074">
          <w:marLeft w:val="0"/>
          <w:marRight w:val="0"/>
          <w:marTop w:val="0"/>
          <w:marBottom w:val="0"/>
          <w:divBdr>
            <w:top w:val="none" w:sz="0" w:space="0" w:color="auto"/>
            <w:left w:val="none" w:sz="0" w:space="0" w:color="auto"/>
            <w:bottom w:val="none" w:sz="0" w:space="0" w:color="auto"/>
            <w:right w:val="none" w:sz="0" w:space="0" w:color="auto"/>
          </w:divBdr>
        </w:div>
        <w:div w:id="1301039277">
          <w:marLeft w:val="0"/>
          <w:marRight w:val="0"/>
          <w:marTop w:val="0"/>
          <w:marBottom w:val="0"/>
          <w:divBdr>
            <w:top w:val="none" w:sz="0" w:space="0" w:color="auto"/>
            <w:left w:val="none" w:sz="0" w:space="0" w:color="auto"/>
            <w:bottom w:val="none" w:sz="0" w:space="0" w:color="auto"/>
            <w:right w:val="none" w:sz="0" w:space="0" w:color="auto"/>
          </w:divBdr>
        </w:div>
        <w:div w:id="1922830822">
          <w:marLeft w:val="0"/>
          <w:marRight w:val="0"/>
          <w:marTop w:val="0"/>
          <w:marBottom w:val="0"/>
          <w:divBdr>
            <w:top w:val="none" w:sz="0" w:space="0" w:color="auto"/>
            <w:left w:val="none" w:sz="0" w:space="0" w:color="auto"/>
            <w:bottom w:val="none" w:sz="0" w:space="0" w:color="auto"/>
            <w:right w:val="none" w:sz="0" w:space="0" w:color="auto"/>
          </w:divBdr>
        </w:div>
        <w:div w:id="1933586081">
          <w:marLeft w:val="0"/>
          <w:marRight w:val="0"/>
          <w:marTop w:val="0"/>
          <w:marBottom w:val="0"/>
          <w:divBdr>
            <w:top w:val="none" w:sz="0" w:space="0" w:color="auto"/>
            <w:left w:val="none" w:sz="0" w:space="0" w:color="auto"/>
            <w:bottom w:val="none" w:sz="0" w:space="0" w:color="auto"/>
            <w:right w:val="none" w:sz="0" w:space="0" w:color="auto"/>
          </w:divBdr>
        </w:div>
        <w:div w:id="1967462184">
          <w:marLeft w:val="0"/>
          <w:marRight w:val="0"/>
          <w:marTop w:val="0"/>
          <w:marBottom w:val="0"/>
          <w:divBdr>
            <w:top w:val="none" w:sz="0" w:space="0" w:color="auto"/>
            <w:left w:val="none" w:sz="0" w:space="0" w:color="auto"/>
            <w:bottom w:val="none" w:sz="0" w:space="0" w:color="auto"/>
            <w:right w:val="none" w:sz="0" w:space="0" w:color="auto"/>
          </w:divBdr>
        </w:div>
        <w:div w:id="2093239828">
          <w:marLeft w:val="0"/>
          <w:marRight w:val="0"/>
          <w:marTop w:val="0"/>
          <w:marBottom w:val="0"/>
          <w:divBdr>
            <w:top w:val="none" w:sz="0" w:space="0" w:color="auto"/>
            <w:left w:val="none" w:sz="0" w:space="0" w:color="auto"/>
            <w:bottom w:val="none" w:sz="0" w:space="0" w:color="auto"/>
            <w:right w:val="none" w:sz="0" w:space="0" w:color="auto"/>
          </w:divBdr>
        </w:div>
      </w:divsChild>
    </w:div>
    <w:div w:id="1703630330">
      <w:bodyDiv w:val="1"/>
      <w:marLeft w:val="0"/>
      <w:marRight w:val="0"/>
      <w:marTop w:val="0"/>
      <w:marBottom w:val="0"/>
      <w:divBdr>
        <w:top w:val="none" w:sz="0" w:space="0" w:color="auto"/>
        <w:left w:val="none" w:sz="0" w:space="0" w:color="auto"/>
        <w:bottom w:val="none" w:sz="0" w:space="0" w:color="auto"/>
        <w:right w:val="none" w:sz="0" w:space="0" w:color="auto"/>
      </w:divBdr>
    </w:div>
    <w:div w:id="1763261469">
      <w:bodyDiv w:val="1"/>
      <w:marLeft w:val="0"/>
      <w:marRight w:val="0"/>
      <w:marTop w:val="0"/>
      <w:marBottom w:val="0"/>
      <w:divBdr>
        <w:top w:val="none" w:sz="0" w:space="0" w:color="auto"/>
        <w:left w:val="none" w:sz="0" w:space="0" w:color="auto"/>
        <w:bottom w:val="none" w:sz="0" w:space="0" w:color="auto"/>
        <w:right w:val="none" w:sz="0" w:space="0" w:color="auto"/>
      </w:divBdr>
      <w:divsChild>
        <w:div w:id="282421224">
          <w:marLeft w:val="0"/>
          <w:marRight w:val="0"/>
          <w:marTop w:val="0"/>
          <w:marBottom w:val="0"/>
          <w:divBdr>
            <w:top w:val="none" w:sz="0" w:space="0" w:color="auto"/>
            <w:left w:val="none" w:sz="0" w:space="0" w:color="auto"/>
            <w:bottom w:val="none" w:sz="0" w:space="0" w:color="auto"/>
            <w:right w:val="none" w:sz="0" w:space="0" w:color="auto"/>
          </w:divBdr>
        </w:div>
        <w:div w:id="1356422797">
          <w:marLeft w:val="0"/>
          <w:marRight w:val="0"/>
          <w:marTop w:val="0"/>
          <w:marBottom w:val="0"/>
          <w:divBdr>
            <w:top w:val="none" w:sz="0" w:space="0" w:color="auto"/>
            <w:left w:val="none" w:sz="0" w:space="0" w:color="auto"/>
            <w:bottom w:val="none" w:sz="0" w:space="0" w:color="auto"/>
            <w:right w:val="none" w:sz="0" w:space="0" w:color="auto"/>
          </w:divBdr>
        </w:div>
        <w:div w:id="1940746925">
          <w:marLeft w:val="0"/>
          <w:marRight w:val="0"/>
          <w:marTop w:val="0"/>
          <w:marBottom w:val="0"/>
          <w:divBdr>
            <w:top w:val="none" w:sz="0" w:space="0" w:color="auto"/>
            <w:left w:val="none" w:sz="0" w:space="0" w:color="auto"/>
            <w:bottom w:val="none" w:sz="0" w:space="0" w:color="auto"/>
            <w:right w:val="none" w:sz="0" w:space="0" w:color="auto"/>
          </w:divBdr>
        </w:div>
      </w:divsChild>
    </w:div>
    <w:div w:id="1821580877">
      <w:bodyDiv w:val="1"/>
      <w:marLeft w:val="0"/>
      <w:marRight w:val="0"/>
      <w:marTop w:val="0"/>
      <w:marBottom w:val="0"/>
      <w:divBdr>
        <w:top w:val="none" w:sz="0" w:space="0" w:color="auto"/>
        <w:left w:val="none" w:sz="0" w:space="0" w:color="auto"/>
        <w:bottom w:val="none" w:sz="0" w:space="0" w:color="auto"/>
        <w:right w:val="none" w:sz="0" w:space="0" w:color="auto"/>
      </w:divBdr>
    </w:div>
    <w:div w:id="1821844343">
      <w:bodyDiv w:val="1"/>
      <w:marLeft w:val="0"/>
      <w:marRight w:val="0"/>
      <w:marTop w:val="0"/>
      <w:marBottom w:val="0"/>
      <w:divBdr>
        <w:top w:val="none" w:sz="0" w:space="0" w:color="auto"/>
        <w:left w:val="none" w:sz="0" w:space="0" w:color="auto"/>
        <w:bottom w:val="none" w:sz="0" w:space="0" w:color="auto"/>
        <w:right w:val="none" w:sz="0" w:space="0" w:color="auto"/>
      </w:divBdr>
      <w:divsChild>
        <w:div w:id="2080251025">
          <w:marLeft w:val="0"/>
          <w:marRight w:val="0"/>
          <w:marTop w:val="0"/>
          <w:marBottom w:val="0"/>
          <w:divBdr>
            <w:top w:val="none" w:sz="0" w:space="0" w:color="auto"/>
            <w:left w:val="none" w:sz="0" w:space="0" w:color="auto"/>
            <w:bottom w:val="none" w:sz="0" w:space="0" w:color="auto"/>
            <w:right w:val="none" w:sz="0" w:space="0" w:color="auto"/>
          </w:divBdr>
          <w:divsChild>
            <w:div w:id="658776890">
              <w:marLeft w:val="3225"/>
              <w:marRight w:val="0"/>
              <w:marTop w:val="0"/>
              <w:marBottom w:val="0"/>
              <w:divBdr>
                <w:top w:val="none" w:sz="0" w:space="0" w:color="auto"/>
                <w:left w:val="none" w:sz="0" w:space="0" w:color="auto"/>
                <w:bottom w:val="none" w:sz="0" w:space="0" w:color="auto"/>
                <w:right w:val="none" w:sz="0" w:space="0" w:color="auto"/>
              </w:divBdr>
              <w:divsChild>
                <w:div w:id="1132021743">
                  <w:marLeft w:val="90"/>
                  <w:marRight w:val="0"/>
                  <w:marTop w:val="0"/>
                  <w:marBottom w:val="0"/>
                  <w:divBdr>
                    <w:top w:val="single" w:sz="6" w:space="0" w:color="EEEEEE"/>
                    <w:left w:val="none" w:sz="0" w:space="0" w:color="auto"/>
                    <w:bottom w:val="none" w:sz="0" w:space="0" w:color="auto"/>
                    <w:right w:val="none" w:sz="0" w:space="0" w:color="auto"/>
                  </w:divBdr>
                  <w:divsChild>
                    <w:div w:id="1620140517">
                      <w:marLeft w:val="0"/>
                      <w:marRight w:val="0"/>
                      <w:marTop w:val="0"/>
                      <w:marBottom w:val="0"/>
                      <w:divBdr>
                        <w:top w:val="none" w:sz="0" w:space="0" w:color="auto"/>
                        <w:left w:val="none" w:sz="0" w:space="0" w:color="auto"/>
                        <w:bottom w:val="none" w:sz="0" w:space="0" w:color="auto"/>
                        <w:right w:val="none" w:sz="0" w:space="0" w:color="auto"/>
                      </w:divBdr>
                      <w:divsChild>
                        <w:div w:id="643777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45390224">
      <w:bodyDiv w:val="1"/>
      <w:marLeft w:val="0"/>
      <w:marRight w:val="0"/>
      <w:marTop w:val="0"/>
      <w:marBottom w:val="0"/>
      <w:divBdr>
        <w:top w:val="none" w:sz="0" w:space="0" w:color="auto"/>
        <w:left w:val="none" w:sz="0" w:space="0" w:color="auto"/>
        <w:bottom w:val="none" w:sz="0" w:space="0" w:color="auto"/>
        <w:right w:val="none" w:sz="0" w:space="0" w:color="auto"/>
      </w:divBdr>
    </w:div>
    <w:div w:id="1883858844">
      <w:bodyDiv w:val="1"/>
      <w:marLeft w:val="0"/>
      <w:marRight w:val="0"/>
      <w:marTop w:val="0"/>
      <w:marBottom w:val="0"/>
      <w:divBdr>
        <w:top w:val="none" w:sz="0" w:space="0" w:color="auto"/>
        <w:left w:val="none" w:sz="0" w:space="0" w:color="auto"/>
        <w:bottom w:val="none" w:sz="0" w:space="0" w:color="auto"/>
        <w:right w:val="none" w:sz="0" w:space="0" w:color="auto"/>
      </w:divBdr>
    </w:div>
    <w:div w:id="1899321912">
      <w:bodyDiv w:val="1"/>
      <w:marLeft w:val="0"/>
      <w:marRight w:val="0"/>
      <w:marTop w:val="0"/>
      <w:marBottom w:val="0"/>
      <w:divBdr>
        <w:top w:val="none" w:sz="0" w:space="0" w:color="auto"/>
        <w:left w:val="none" w:sz="0" w:space="0" w:color="auto"/>
        <w:bottom w:val="none" w:sz="0" w:space="0" w:color="auto"/>
        <w:right w:val="none" w:sz="0" w:space="0" w:color="auto"/>
      </w:divBdr>
      <w:divsChild>
        <w:div w:id="1668903146">
          <w:marLeft w:val="0"/>
          <w:marRight w:val="0"/>
          <w:marTop w:val="0"/>
          <w:marBottom w:val="0"/>
          <w:divBdr>
            <w:top w:val="none" w:sz="0" w:space="0" w:color="auto"/>
            <w:left w:val="none" w:sz="0" w:space="0" w:color="auto"/>
            <w:bottom w:val="none" w:sz="0" w:space="0" w:color="auto"/>
            <w:right w:val="none" w:sz="0" w:space="0" w:color="auto"/>
          </w:divBdr>
          <w:divsChild>
            <w:div w:id="1427115705">
              <w:marLeft w:val="3225"/>
              <w:marRight w:val="0"/>
              <w:marTop w:val="0"/>
              <w:marBottom w:val="0"/>
              <w:divBdr>
                <w:top w:val="none" w:sz="0" w:space="0" w:color="auto"/>
                <w:left w:val="none" w:sz="0" w:space="0" w:color="auto"/>
                <w:bottom w:val="none" w:sz="0" w:space="0" w:color="auto"/>
                <w:right w:val="none" w:sz="0" w:space="0" w:color="auto"/>
              </w:divBdr>
              <w:divsChild>
                <w:div w:id="66656890">
                  <w:marLeft w:val="90"/>
                  <w:marRight w:val="0"/>
                  <w:marTop w:val="0"/>
                  <w:marBottom w:val="0"/>
                  <w:divBdr>
                    <w:top w:val="single" w:sz="6" w:space="0" w:color="EEEEEE"/>
                    <w:left w:val="none" w:sz="0" w:space="0" w:color="auto"/>
                    <w:bottom w:val="none" w:sz="0" w:space="0" w:color="auto"/>
                    <w:right w:val="none" w:sz="0" w:space="0" w:color="auto"/>
                  </w:divBdr>
                  <w:divsChild>
                    <w:div w:id="1588041">
                      <w:marLeft w:val="0"/>
                      <w:marRight w:val="0"/>
                      <w:marTop w:val="0"/>
                      <w:marBottom w:val="0"/>
                      <w:divBdr>
                        <w:top w:val="none" w:sz="0" w:space="0" w:color="auto"/>
                        <w:left w:val="none" w:sz="0" w:space="0" w:color="auto"/>
                        <w:bottom w:val="none" w:sz="0" w:space="0" w:color="auto"/>
                        <w:right w:val="none" w:sz="0" w:space="0" w:color="auto"/>
                      </w:divBdr>
                      <w:divsChild>
                        <w:div w:id="626855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8877671">
      <w:bodyDiv w:val="1"/>
      <w:marLeft w:val="0"/>
      <w:marRight w:val="0"/>
      <w:marTop w:val="0"/>
      <w:marBottom w:val="0"/>
      <w:divBdr>
        <w:top w:val="none" w:sz="0" w:space="0" w:color="auto"/>
        <w:left w:val="none" w:sz="0" w:space="0" w:color="auto"/>
        <w:bottom w:val="none" w:sz="0" w:space="0" w:color="auto"/>
        <w:right w:val="none" w:sz="0" w:space="0" w:color="auto"/>
      </w:divBdr>
    </w:div>
    <w:div w:id="2077970724">
      <w:bodyDiv w:val="1"/>
      <w:marLeft w:val="0"/>
      <w:marRight w:val="0"/>
      <w:marTop w:val="0"/>
      <w:marBottom w:val="0"/>
      <w:divBdr>
        <w:top w:val="none" w:sz="0" w:space="0" w:color="auto"/>
        <w:left w:val="none" w:sz="0" w:space="0" w:color="auto"/>
        <w:bottom w:val="none" w:sz="0" w:space="0" w:color="auto"/>
        <w:right w:val="none" w:sz="0" w:space="0" w:color="auto"/>
      </w:divBdr>
      <w:divsChild>
        <w:div w:id="201943274">
          <w:marLeft w:val="0"/>
          <w:marRight w:val="0"/>
          <w:marTop w:val="0"/>
          <w:marBottom w:val="0"/>
          <w:divBdr>
            <w:top w:val="none" w:sz="0" w:space="0" w:color="auto"/>
            <w:left w:val="none" w:sz="0" w:space="0" w:color="auto"/>
            <w:bottom w:val="none" w:sz="0" w:space="0" w:color="auto"/>
            <w:right w:val="none" w:sz="0" w:space="0" w:color="auto"/>
          </w:divBdr>
        </w:div>
        <w:div w:id="357394119">
          <w:marLeft w:val="0"/>
          <w:marRight w:val="0"/>
          <w:marTop w:val="0"/>
          <w:marBottom w:val="0"/>
          <w:divBdr>
            <w:top w:val="none" w:sz="0" w:space="0" w:color="auto"/>
            <w:left w:val="none" w:sz="0" w:space="0" w:color="auto"/>
            <w:bottom w:val="none" w:sz="0" w:space="0" w:color="auto"/>
            <w:right w:val="none" w:sz="0" w:space="0" w:color="auto"/>
          </w:divBdr>
        </w:div>
        <w:div w:id="1337729907">
          <w:marLeft w:val="0"/>
          <w:marRight w:val="0"/>
          <w:marTop w:val="0"/>
          <w:marBottom w:val="0"/>
          <w:divBdr>
            <w:top w:val="none" w:sz="0" w:space="0" w:color="auto"/>
            <w:left w:val="none" w:sz="0" w:space="0" w:color="auto"/>
            <w:bottom w:val="none" w:sz="0" w:space="0" w:color="auto"/>
            <w:right w:val="none" w:sz="0" w:space="0" w:color="auto"/>
          </w:divBdr>
        </w:div>
      </w:divsChild>
    </w:div>
    <w:div w:id="2087728123">
      <w:bodyDiv w:val="1"/>
      <w:marLeft w:val="0"/>
      <w:marRight w:val="0"/>
      <w:marTop w:val="0"/>
      <w:marBottom w:val="0"/>
      <w:divBdr>
        <w:top w:val="none" w:sz="0" w:space="0" w:color="auto"/>
        <w:left w:val="none" w:sz="0" w:space="0" w:color="auto"/>
        <w:bottom w:val="none" w:sz="0" w:space="0" w:color="auto"/>
        <w:right w:val="none" w:sz="0" w:space="0" w:color="auto"/>
      </w:divBdr>
      <w:divsChild>
        <w:div w:id="948661736">
          <w:marLeft w:val="0"/>
          <w:marRight w:val="0"/>
          <w:marTop w:val="0"/>
          <w:marBottom w:val="0"/>
          <w:divBdr>
            <w:top w:val="none" w:sz="0" w:space="0" w:color="auto"/>
            <w:left w:val="none" w:sz="0" w:space="0" w:color="auto"/>
            <w:bottom w:val="none" w:sz="0" w:space="0" w:color="auto"/>
            <w:right w:val="none" w:sz="0" w:space="0" w:color="auto"/>
          </w:divBdr>
          <w:divsChild>
            <w:div w:id="138036537">
              <w:marLeft w:val="3225"/>
              <w:marRight w:val="0"/>
              <w:marTop w:val="0"/>
              <w:marBottom w:val="0"/>
              <w:divBdr>
                <w:top w:val="none" w:sz="0" w:space="0" w:color="auto"/>
                <w:left w:val="none" w:sz="0" w:space="0" w:color="auto"/>
                <w:bottom w:val="none" w:sz="0" w:space="0" w:color="auto"/>
                <w:right w:val="none" w:sz="0" w:space="0" w:color="auto"/>
              </w:divBdr>
              <w:divsChild>
                <w:div w:id="8412250">
                  <w:marLeft w:val="90"/>
                  <w:marRight w:val="0"/>
                  <w:marTop w:val="0"/>
                  <w:marBottom w:val="0"/>
                  <w:divBdr>
                    <w:top w:val="single" w:sz="6" w:space="0" w:color="EEEEEE"/>
                    <w:left w:val="none" w:sz="0" w:space="0" w:color="auto"/>
                    <w:bottom w:val="none" w:sz="0" w:space="0" w:color="auto"/>
                    <w:right w:val="none" w:sz="0" w:space="0" w:color="auto"/>
                  </w:divBdr>
                  <w:divsChild>
                    <w:div w:id="805391152">
                      <w:marLeft w:val="0"/>
                      <w:marRight w:val="0"/>
                      <w:marTop w:val="0"/>
                      <w:marBottom w:val="0"/>
                      <w:divBdr>
                        <w:top w:val="none" w:sz="0" w:space="0" w:color="auto"/>
                        <w:left w:val="none" w:sz="0" w:space="0" w:color="auto"/>
                        <w:bottom w:val="none" w:sz="0" w:space="0" w:color="auto"/>
                        <w:right w:val="none" w:sz="0" w:space="0" w:color="auto"/>
                      </w:divBdr>
                      <w:divsChild>
                        <w:div w:id="1879277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7192699">
      <w:bodyDiv w:val="1"/>
      <w:marLeft w:val="0"/>
      <w:marRight w:val="0"/>
      <w:marTop w:val="0"/>
      <w:marBottom w:val="0"/>
      <w:divBdr>
        <w:top w:val="none" w:sz="0" w:space="0" w:color="auto"/>
        <w:left w:val="none" w:sz="0" w:space="0" w:color="auto"/>
        <w:bottom w:val="none" w:sz="0" w:space="0" w:color="auto"/>
        <w:right w:val="none" w:sz="0" w:space="0" w:color="auto"/>
      </w:divBdr>
    </w:div>
    <w:div w:id="2136021412">
      <w:bodyDiv w:val="1"/>
      <w:marLeft w:val="0"/>
      <w:marRight w:val="0"/>
      <w:marTop w:val="0"/>
      <w:marBottom w:val="0"/>
      <w:divBdr>
        <w:top w:val="none" w:sz="0" w:space="0" w:color="auto"/>
        <w:left w:val="none" w:sz="0" w:space="0" w:color="auto"/>
        <w:bottom w:val="none" w:sz="0" w:space="0" w:color="auto"/>
        <w:right w:val="none" w:sz="0" w:space="0" w:color="auto"/>
      </w:divBdr>
      <w:divsChild>
        <w:div w:id="964121866">
          <w:marLeft w:val="0"/>
          <w:marRight w:val="0"/>
          <w:marTop w:val="0"/>
          <w:marBottom w:val="0"/>
          <w:divBdr>
            <w:top w:val="none" w:sz="0" w:space="0" w:color="auto"/>
            <w:left w:val="none" w:sz="0" w:space="0" w:color="auto"/>
            <w:bottom w:val="none" w:sz="0" w:space="0" w:color="auto"/>
            <w:right w:val="none" w:sz="0" w:space="0" w:color="auto"/>
          </w:divBdr>
        </w:div>
        <w:div w:id="1121458676">
          <w:marLeft w:val="0"/>
          <w:marRight w:val="0"/>
          <w:marTop w:val="0"/>
          <w:marBottom w:val="0"/>
          <w:divBdr>
            <w:top w:val="none" w:sz="0" w:space="0" w:color="auto"/>
            <w:left w:val="none" w:sz="0" w:space="0" w:color="auto"/>
            <w:bottom w:val="none" w:sz="0" w:space="0" w:color="auto"/>
            <w:right w:val="none" w:sz="0" w:space="0" w:color="auto"/>
          </w:divBdr>
        </w:div>
        <w:div w:id="2110736262">
          <w:marLeft w:val="0"/>
          <w:marRight w:val="0"/>
          <w:marTop w:val="0"/>
          <w:marBottom w:val="0"/>
          <w:divBdr>
            <w:top w:val="none" w:sz="0" w:space="0" w:color="auto"/>
            <w:left w:val="none" w:sz="0" w:space="0" w:color="auto"/>
            <w:bottom w:val="none" w:sz="0" w:space="0" w:color="auto"/>
            <w:right w:val="none" w:sz="0" w:space="0" w:color="auto"/>
          </w:divBdr>
        </w:div>
      </w:divsChild>
    </w:div>
    <w:div w:id="2146772764">
      <w:bodyDiv w:val="1"/>
      <w:marLeft w:val="0"/>
      <w:marRight w:val="0"/>
      <w:marTop w:val="0"/>
      <w:marBottom w:val="0"/>
      <w:divBdr>
        <w:top w:val="none" w:sz="0" w:space="0" w:color="auto"/>
        <w:left w:val="none" w:sz="0" w:space="0" w:color="auto"/>
        <w:bottom w:val="none" w:sz="0" w:space="0" w:color="auto"/>
        <w:right w:val="none" w:sz="0" w:space="0" w:color="auto"/>
      </w:divBdr>
      <w:divsChild>
        <w:div w:id="1571034544">
          <w:marLeft w:val="0"/>
          <w:marRight w:val="0"/>
          <w:marTop w:val="0"/>
          <w:marBottom w:val="0"/>
          <w:divBdr>
            <w:top w:val="none" w:sz="0" w:space="0" w:color="auto"/>
            <w:left w:val="none" w:sz="0" w:space="0" w:color="auto"/>
            <w:bottom w:val="none" w:sz="0" w:space="0" w:color="auto"/>
            <w:right w:val="none" w:sz="0" w:space="0" w:color="auto"/>
          </w:divBdr>
          <w:divsChild>
            <w:div w:id="1470366295">
              <w:marLeft w:val="3225"/>
              <w:marRight w:val="0"/>
              <w:marTop w:val="0"/>
              <w:marBottom w:val="0"/>
              <w:divBdr>
                <w:top w:val="none" w:sz="0" w:space="0" w:color="auto"/>
                <w:left w:val="none" w:sz="0" w:space="0" w:color="auto"/>
                <w:bottom w:val="none" w:sz="0" w:space="0" w:color="auto"/>
                <w:right w:val="none" w:sz="0" w:space="0" w:color="auto"/>
              </w:divBdr>
              <w:divsChild>
                <w:div w:id="1277567581">
                  <w:marLeft w:val="90"/>
                  <w:marRight w:val="0"/>
                  <w:marTop w:val="0"/>
                  <w:marBottom w:val="0"/>
                  <w:divBdr>
                    <w:top w:val="single" w:sz="6" w:space="0" w:color="EEEEEE"/>
                    <w:left w:val="none" w:sz="0" w:space="0" w:color="auto"/>
                    <w:bottom w:val="none" w:sz="0" w:space="0" w:color="auto"/>
                    <w:right w:val="none" w:sz="0" w:space="0" w:color="auto"/>
                  </w:divBdr>
                  <w:divsChild>
                    <w:div w:id="2129203767">
                      <w:marLeft w:val="0"/>
                      <w:marRight w:val="0"/>
                      <w:marTop w:val="0"/>
                      <w:marBottom w:val="0"/>
                      <w:divBdr>
                        <w:top w:val="none" w:sz="0" w:space="0" w:color="auto"/>
                        <w:left w:val="none" w:sz="0" w:space="0" w:color="auto"/>
                        <w:bottom w:val="none" w:sz="0" w:space="0" w:color="auto"/>
                        <w:right w:val="none" w:sz="0" w:space="0" w:color="auto"/>
                      </w:divBdr>
                      <w:divsChild>
                        <w:div w:id="278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mailto:vanessa.leigh@milieu.be" TargetMode="Externa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mailto:ana.gomez@milieu.be"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iip.gov.mt/agents-list/" TargetMode="Externa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emma.psaila@milieu.be"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milieu.be/"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26" Type="http://schemas.openxmlformats.org/officeDocument/2006/relationships/hyperlink" Target="https://oriip.gov.mt/en/Documents/Reports/Annual%20Report%202017.pdf" TargetMode="External"/><Relationship Id="rId21" Type="http://schemas.openxmlformats.org/officeDocument/2006/relationships/hyperlink" Target="https://oriip.gov.mt/en/Documents/Reports/Annual%20Report%202017.pdf" TargetMode="External"/><Relationship Id="rId42" Type="http://schemas.openxmlformats.org/officeDocument/2006/relationships/hyperlink" Target="https://oriip.gov.mt/en/Documents/Reports/Annual%20Report%202016.pdf" TargetMode="External"/><Relationship Id="rId47" Type="http://schemas.openxmlformats.org/officeDocument/2006/relationships/hyperlink" Target="https://oriip.gov.mt/en/Documents/Reports/Annual%20Report%202014.pdf" TargetMode="External"/><Relationship Id="rId63" Type="http://schemas.openxmlformats.org/officeDocument/2006/relationships/hyperlink" Target="https://www.timesofmalta.com/articles/view/20171025/local/cash-for-passports-is-not-about-making-money-says-PM.661359" TargetMode="External"/><Relationship Id="rId68" Type="http://schemas.openxmlformats.org/officeDocument/2006/relationships/hyperlink" Target="https://oriip.gov.mt/en/Documents/Reports/Annual%20Report%202017.pdf" TargetMode="External"/><Relationship Id="rId7" Type="http://schemas.openxmlformats.org/officeDocument/2006/relationships/hyperlink" Target="http://www.justiceservices.gov.mt/DownloadDocument.aspx?app=lom&amp;itemid=9536&amp;l=1" TargetMode="External"/><Relationship Id="rId71" Type="http://schemas.openxmlformats.org/officeDocument/2006/relationships/hyperlink" Target="https://imidaily.com/editors-picks/malta-raising-price-citizenship-program-miip-2-0-exclusive-says-pm/" TargetMode="External"/><Relationship Id="rId2" Type="http://schemas.openxmlformats.org/officeDocument/2006/relationships/hyperlink" Target="http://www.justiceservices.gov.mt/DownloadDocument.aspx?app=lom&amp;itemid=8566&amp;l=1" TargetMode="External"/><Relationship Id="rId16" Type="http://schemas.openxmlformats.org/officeDocument/2006/relationships/hyperlink" Target="http://iip.gov.mt/wp-content/uploads/2014/01/Form-O.pdf" TargetMode="External"/><Relationship Id="rId29" Type="http://schemas.openxmlformats.org/officeDocument/2006/relationships/hyperlink" Target="https://oriip.gov.mt/en/Documents/Reports/Annual%20Report%202017.pdf" TargetMode="External"/><Relationship Id="rId11" Type="http://schemas.openxmlformats.org/officeDocument/2006/relationships/hyperlink" Target="http://www.justiceservices.gov.mt/DownloadDocument.aspx?app=lom&amp;itemid=12096&amp;l=1" TargetMode="External"/><Relationship Id="rId24" Type="http://schemas.openxmlformats.org/officeDocument/2006/relationships/hyperlink" Target="http://iip.gov.mt/wp-content/uploads/2014/02/Malta-IIP-Code-of-Conduct-2.pdf" TargetMode="External"/><Relationship Id="rId32" Type="http://schemas.openxmlformats.org/officeDocument/2006/relationships/hyperlink" Target="https://oriip.gov.mt/en/Documents/Reports/Annual%20Report%202016.pdf" TargetMode="External"/><Relationship Id="rId37" Type="http://schemas.openxmlformats.org/officeDocument/2006/relationships/hyperlink" Target="https://daphnecaruanagalizia.com/2015/08/government-publishes-list-of-citizens-naturalised-last-year/" TargetMode="External"/><Relationship Id="rId40" Type="http://schemas.openxmlformats.org/officeDocument/2006/relationships/hyperlink" Target="http://www.gov.mt/en/Government/Government%20Gazette/Documents/12/Government%20Gazette%20-%2022nd%20December.pdf" TargetMode="External"/><Relationship Id="rId45" Type="http://schemas.openxmlformats.org/officeDocument/2006/relationships/hyperlink" Target="https://oriip.gov.mt/en/Documents/Reports/Annual%20Report%202016.pdf" TargetMode="External"/><Relationship Id="rId53" Type="http://schemas.openxmlformats.org/officeDocument/2006/relationships/hyperlink" Target="http://iip.gov.mt/wp-content/uploads/2014/02/MIIP-Checklist-and-Guidelines-V2-1.pdf" TargetMode="External"/><Relationship Id="rId58" Type="http://schemas.openxmlformats.org/officeDocument/2006/relationships/hyperlink" Target="http://iip.gov.mt/wp-content/uploads/2014/01/MIIP-Form-SSFW3.pdf" TargetMode="External"/><Relationship Id="rId66" Type="http://schemas.openxmlformats.org/officeDocument/2006/relationships/hyperlink" Target="https://oriip.gov.mt/en/Documents/Reports/Annual%20Report%202017.pdf" TargetMode="External"/><Relationship Id="rId5" Type="http://schemas.openxmlformats.org/officeDocument/2006/relationships/hyperlink" Target="http://www.justiceservices.gov.mt/DownloadDocument.aspx?app=lom&amp;itemid=12141&amp;l=1" TargetMode="External"/><Relationship Id="rId61" Type="http://schemas.openxmlformats.org/officeDocument/2006/relationships/hyperlink" Target="http://iip.gov.mt/wp-content/uploads/2014/01/MIIP-Form-MRQ3.pdf" TargetMode="External"/><Relationship Id="rId19" Type="http://schemas.openxmlformats.org/officeDocument/2006/relationships/hyperlink" Target="https://oriip.gov.mt/en/Pages/complaints.aspx" TargetMode="External"/><Relationship Id="rId14" Type="http://schemas.openxmlformats.org/officeDocument/2006/relationships/hyperlink" Target="http://iip.gov.mt/wp-content/uploads/2014/02/MIIP-Checklist-and-Guidelines-V2-1.pdf" TargetMode="External"/><Relationship Id="rId22" Type="http://schemas.openxmlformats.org/officeDocument/2006/relationships/hyperlink" Target="https://www.timesofmalta.com/articles/view/20160708/local/russian-millionaire-sues-malta-after-failing-passport-test.618081" TargetMode="External"/><Relationship Id="rId27" Type="http://schemas.openxmlformats.org/officeDocument/2006/relationships/hyperlink" Target="https://parlament.mt/media/90506/dok-105-l60.pdf" TargetMode="External"/><Relationship Id="rId30" Type="http://schemas.openxmlformats.org/officeDocument/2006/relationships/hyperlink" Target="https://www.parlament.mt/media/82316/dok-106-l60.pdf" TargetMode="External"/><Relationship Id="rId35" Type="http://schemas.openxmlformats.org/officeDocument/2006/relationships/hyperlink" Target="http://iip.gov.mt/wp-content/uploads/2014/02/MIIP-Checklist-and-Guidelines-V2-1.pdf" TargetMode="External"/><Relationship Id="rId43" Type="http://schemas.openxmlformats.org/officeDocument/2006/relationships/hyperlink" Target="https://oriip.gov.mt/en/Documents/Reports/Annual%20Report%202014.pdf" TargetMode="External"/><Relationship Id="rId48" Type="http://schemas.openxmlformats.org/officeDocument/2006/relationships/hyperlink" Target="https://oriip.gov.mt/en/Documents/Reports/Annual%20Report%202015.pdf" TargetMode="External"/><Relationship Id="rId56" Type="http://schemas.openxmlformats.org/officeDocument/2006/relationships/hyperlink" Target="https://oriip.gov.mt/en/Documents/Reports/Annual%20Report%202017.pdf" TargetMode="External"/><Relationship Id="rId64" Type="http://schemas.openxmlformats.org/officeDocument/2006/relationships/hyperlink" Target="http://www.imf.org/en/News/Articles/2017/11/17/ms111717-malta-staff-concluding-statement-of-the-2017-article-iv-mission" TargetMode="External"/><Relationship Id="rId69" Type="http://schemas.openxmlformats.org/officeDocument/2006/relationships/hyperlink" Target="https://oriip.gov.mt/en/Documents/Reports/Annual%20Report%202017.pdf" TargetMode="External"/><Relationship Id="rId8" Type="http://schemas.openxmlformats.org/officeDocument/2006/relationships/hyperlink" Target="http://justiceservices.gov.mt/DownloadDocument.aspx?app=lp&amp;itemid=25937&amp;l=1" TargetMode="External"/><Relationship Id="rId51" Type="http://schemas.openxmlformats.org/officeDocument/2006/relationships/hyperlink" Target="https://oriip.gov.mt/en/Documents/Reports/Annual%20Report%202017.pdf" TargetMode="External"/><Relationship Id="rId72" Type="http://schemas.openxmlformats.org/officeDocument/2006/relationships/hyperlink" Target="https://www.timesofmalta.com/articles/view/20171115/local/cash-for-passports-scheme-will-become-more-exclusive-pm.663206" TargetMode="External"/><Relationship Id="rId3" Type="http://schemas.openxmlformats.org/officeDocument/2006/relationships/hyperlink" Target="http://justiceservices.gov.mt/DownloadDocument.aspx?app=lp&amp;itemid=25863&amp;l=1" TargetMode="External"/><Relationship Id="rId12" Type="http://schemas.openxmlformats.org/officeDocument/2006/relationships/hyperlink" Target="http://justiceservices.gov.mt/DownloadDocument.aspx?app=lp&amp;itemid=28992&amp;l=1" TargetMode="External"/><Relationship Id="rId17" Type="http://schemas.openxmlformats.org/officeDocument/2006/relationships/hyperlink" Target="http://iip.gov.mt/wp-content/uploads/2014/01/Form-P-Minor-Dependent1.pdf" TargetMode="External"/><Relationship Id="rId25" Type="http://schemas.openxmlformats.org/officeDocument/2006/relationships/hyperlink" Target="https://www.henleyglobal.com/citizenship-malta-citizenship/" TargetMode="External"/><Relationship Id="rId33" Type="http://schemas.openxmlformats.org/officeDocument/2006/relationships/hyperlink" Target="https://www.timesofmalta.com/articles/view/20171115/local/cash-for-passports-scheme-will-become-more-exclusive-pm.663206" TargetMode="External"/><Relationship Id="rId38" Type="http://schemas.openxmlformats.org/officeDocument/2006/relationships/hyperlink" Target="https://www.timesofmalta.com/articles/view/20171219/local/pm-promises-citizenship-list-in-the-coming-days.666007" TargetMode="External"/><Relationship Id="rId46" Type="http://schemas.openxmlformats.org/officeDocument/2006/relationships/hyperlink" Target="https://oriip.gov.mt/en/Documents/Reports/Annual%20Report%202017.pdf" TargetMode="External"/><Relationship Id="rId59" Type="http://schemas.openxmlformats.org/officeDocument/2006/relationships/hyperlink" Target="http://iip.gov.mt/wp-content/uploads/2014/01/MIIP-Form-PDFEE3.pdf" TargetMode="External"/><Relationship Id="rId67" Type="http://schemas.openxmlformats.org/officeDocument/2006/relationships/hyperlink" Target="http://www.independent.com.mt/articles/2017-11-28/local-news/Strong-increases-in-housing-prices-may-raise-financial-stability-risks-IMF-says-6736182008" TargetMode="External"/><Relationship Id="rId20" Type="http://schemas.openxmlformats.org/officeDocument/2006/relationships/hyperlink" Target="https://oriip.gov.mt/en/Documents/Reports/Annual%20Report%202015.pdf" TargetMode="External"/><Relationship Id="rId41" Type="http://schemas.openxmlformats.org/officeDocument/2006/relationships/hyperlink" Target="https://www.timesofmalta.com/articles/view/20171229/local/passport-buyers-hidden-among-new-maltese.666680" TargetMode="External"/><Relationship Id="rId54" Type="http://schemas.openxmlformats.org/officeDocument/2006/relationships/hyperlink" Target="https://oriip.gov.mt/en/Documents/Reports/Annual%20Report%202015.pdf" TargetMode="External"/><Relationship Id="rId62" Type="http://schemas.openxmlformats.org/officeDocument/2006/relationships/hyperlink" Target="http://iip.gov.mt/wp-content/uploads/2014/02/MIIP-Checklist-and-Guidelines-V2-1.pdf" TargetMode="External"/><Relationship Id="rId70" Type="http://schemas.openxmlformats.org/officeDocument/2006/relationships/hyperlink" Target="https://www.surveymonkey.com/r/IIPpublicconsultation" TargetMode="External"/><Relationship Id="rId1" Type="http://schemas.openxmlformats.org/officeDocument/2006/relationships/hyperlink" Target="http://www.justiceservices.gov.mt/DownloadDocument.aspx?app=lom&amp;itemid=8702&amp;l=1" TargetMode="External"/><Relationship Id="rId6" Type="http://schemas.openxmlformats.org/officeDocument/2006/relationships/hyperlink" Target="http://justiceservices.gov.mt/DownloadDocument.aspx?app=lp&amp;itemid=25933&amp;l=1" TargetMode="External"/><Relationship Id="rId15" Type="http://schemas.openxmlformats.org/officeDocument/2006/relationships/hyperlink" Target="http://iip.gov.mt/wp-content/uploads/2014/01/Form-N-Main-Applicant.pdf" TargetMode="External"/><Relationship Id="rId23" Type="http://schemas.openxmlformats.org/officeDocument/2006/relationships/hyperlink" Target="http://iip.gov.mt/wp-content/uploads/2014/02/Malta-IIP-Code-of-Conduct-2.pdf" TargetMode="External"/><Relationship Id="rId28" Type="http://schemas.openxmlformats.org/officeDocument/2006/relationships/hyperlink" Target="https://www.parlament.mt/media/82316/dok-106-l60.pdf" TargetMode="External"/><Relationship Id="rId36" Type="http://schemas.openxmlformats.org/officeDocument/2006/relationships/hyperlink" Target="https://govcms.gov.mt/en/Government/Government%20Gazette/Government%20Notices/Documents/Naturalised%20list.pdf" TargetMode="External"/><Relationship Id="rId49" Type="http://schemas.openxmlformats.org/officeDocument/2006/relationships/hyperlink" Target="https://oriip.gov.mt/en/Documents/Reports/Annual%20Report%202016.pdf" TargetMode="External"/><Relationship Id="rId57" Type="http://schemas.openxmlformats.org/officeDocument/2006/relationships/hyperlink" Target="https://oriip.gov.mt/en/Documents/Reports/Annual%20Report%202017.pdf" TargetMode="External"/><Relationship Id="rId10" Type="http://schemas.openxmlformats.org/officeDocument/2006/relationships/hyperlink" Target="http://iip.gov.mt/" TargetMode="External"/><Relationship Id="rId31" Type="http://schemas.openxmlformats.org/officeDocument/2006/relationships/hyperlink" Target="https://parlament.mt/media/90506/dok-105-l60.pdf" TargetMode="External"/><Relationship Id="rId44" Type="http://schemas.openxmlformats.org/officeDocument/2006/relationships/hyperlink" Target="https://oriip.gov.mt/en/Documents/Reports/Annual%20Report%202015.pdf" TargetMode="External"/><Relationship Id="rId52" Type="http://schemas.openxmlformats.org/officeDocument/2006/relationships/hyperlink" Target="http://iip.gov.mt/faqs/" TargetMode="External"/><Relationship Id="rId60" Type="http://schemas.openxmlformats.org/officeDocument/2006/relationships/hyperlink" Target="http://iip.gov.mt/wp-content/uploads/2014/01/MIIP-Form-PSC2.pdf" TargetMode="External"/><Relationship Id="rId65" Type="http://schemas.openxmlformats.org/officeDocument/2006/relationships/hyperlink" Target="http://www.imf.org/en/News/Articles/2017/11/17/ms111717-malta-staff-concluding-statement-of-the-2017-article-iv-mission" TargetMode="External"/><Relationship Id="rId4" Type="http://schemas.openxmlformats.org/officeDocument/2006/relationships/hyperlink" Target="http://www.europarl.europa.eu/sides/getDoc.do?pubRef=-//EP//TEXT+MOTION+P7-RC-2014-0015+0+DOC+XML+V0//EN" TargetMode="External"/><Relationship Id="rId9" Type="http://schemas.openxmlformats.org/officeDocument/2006/relationships/hyperlink" Target="https://oriip.gov.mt/en/Documents/Reports/Annual%20Report%202017.pdf" TargetMode="External"/><Relationship Id="rId13" Type="http://schemas.openxmlformats.org/officeDocument/2006/relationships/hyperlink" Target="http://iip.gov.mt/wp-content/uploads/2014/02/MIIP-Checklist-and-Guidelines-V2-1.pdf" TargetMode="External"/><Relationship Id="rId18" Type="http://schemas.openxmlformats.org/officeDocument/2006/relationships/hyperlink" Target="http://iip.gov.mt/wp-content/uploads/2014/02/MIIP-Checklist-and-Guidelines-V2-1.pdf" TargetMode="External"/><Relationship Id="rId39" Type="http://schemas.openxmlformats.org/officeDocument/2006/relationships/hyperlink" Target="https://www.timesofmalta.com/articles/view/20171031/local/citizenship-list-yet-to-be-published.661858" TargetMode="External"/><Relationship Id="rId34" Type="http://schemas.openxmlformats.org/officeDocument/2006/relationships/hyperlink" Target="https://www.ombudsman.org.mt" TargetMode="External"/><Relationship Id="rId50" Type="http://schemas.openxmlformats.org/officeDocument/2006/relationships/hyperlink" Target="https://oriip.gov.mt/en/Documents/Reports/Annual%20Report%202017.pdf" TargetMode="External"/><Relationship Id="rId55" Type="http://schemas.openxmlformats.org/officeDocument/2006/relationships/hyperlink" Target="https://oriip.gov.mt/en/Documents/Reports/Annual%20Report%202017.pdf" TargetMode="External"/></Relationships>
</file>

<file path=word/theme/theme1.xml><?xml version="1.0" encoding="utf-8"?>
<a:theme xmlns:a="http://schemas.openxmlformats.org/drawingml/2006/main" name="Office Theme">
  <a:themeElements>
    <a:clrScheme name="Custom 1">
      <a:dk1>
        <a:sysClr val="windowText" lastClr="000000"/>
      </a:dk1>
      <a:lt1>
        <a:sysClr val="window" lastClr="FFFFFF"/>
      </a:lt1>
      <a:dk2>
        <a:srgbClr val="7AB800"/>
      </a:dk2>
      <a:lt2>
        <a:srgbClr val="A5A5A5"/>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C5E36E-0126-4243-8028-5E0273575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11096</Words>
  <Characters>63248</Characters>
  <Application>Microsoft Office Word</Application>
  <DocSecurity>0</DocSecurity>
  <Lines>527</Lines>
  <Paragraphs>148</Paragraphs>
  <ScaleCrop>false</ScaleCrop>
  <HeadingPairs>
    <vt:vector size="8" baseType="variant">
      <vt:variant>
        <vt:lpstr>Title</vt:lpstr>
      </vt:variant>
      <vt:variant>
        <vt:i4>1</vt:i4>
      </vt:variant>
      <vt:variant>
        <vt:lpstr>Titel</vt:lpstr>
      </vt:variant>
      <vt:variant>
        <vt:i4>1</vt:i4>
      </vt:variant>
      <vt:variant>
        <vt:lpstr>Заглавие</vt:lpstr>
      </vt:variant>
      <vt:variant>
        <vt:i4>1</vt:i4>
      </vt:variant>
      <vt:variant>
        <vt:lpstr>Заглавия</vt:lpstr>
      </vt:variant>
      <vt:variant>
        <vt:i4>11</vt:i4>
      </vt:variant>
    </vt:vector>
  </HeadingPairs>
  <TitlesOfParts>
    <vt:vector size="14" baseType="lpstr">
      <vt:lpstr>1</vt:lpstr>
      <vt:lpstr>1</vt:lpstr>
      <vt:lpstr>1</vt:lpstr>
      <vt:lpstr/>
      <vt:lpstr>Summary Datasheet </vt:lpstr>
      <vt:lpstr/>
      <vt:lpstr>ABBREVIATIONS USED</vt:lpstr>
      <vt:lpstr>Introduction</vt:lpstr>
      <vt:lpstr>    OVERVIEW OF THE LEGAL FRAMEWORK IN bulgaria</vt:lpstr>
      <vt:lpstr>    FRAMEWORK FOR TRANSPOSITION &amp; IMPLEMENTATION OF DIRECTIVE 2012/18/EU IN bulgaria</vt:lpstr>
      <vt:lpstr>        General distribution of competences/Competent authorities</vt:lpstr>
      <vt:lpstr>        Transposition context with regard to Directive 2012/18/EU  </vt:lpstr>
      <vt:lpstr>LEGAL ANALYSIS OF THE TRANSPOSING MEASURES FOR DIRECTIVE 2012/18/EU</vt:lpstr>
      <vt:lpstr>CONCLUSIONS</vt:lpstr>
    </vt:vector>
  </TitlesOfParts>
  <Company>Milieu</Company>
  <LinksUpToDate>false</LinksUpToDate>
  <CharactersWithSpaces>74196</CharactersWithSpaces>
  <SharedDoc>false</SharedDoc>
  <HLinks>
    <vt:vector size="66" baseType="variant">
      <vt:variant>
        <vt:i4>1441854</vt:i4>
      </vt:variant>
      <vt:variant>
        <vt:i4>56</vt:i4>
      </vt:variant>
      <vt:variant>
        <vt:i4>0</vt:i4>
      </vt:variant>
      <vt:variant>
        <vt:i4>5</vt:i4>
      </vt:variant>
      <vt:variant>
        <vt:lpwstr/>
      </vt:variant>
      <vt:variant>
        <vt:lpwstr>_Toc361741818</vt:lpwstr>
      </vt:variant>
      <vt:variant>
        <vt:i4>1441854</vt:i4>
      </vt:variant>
      <vt:variant>
        <vt:i4>50</vt:i4>
      </vt:variant>
      <vt:variant>
        <vt:i4>0</vt:i4>
      </vt:variant>
      <vt:variant>
        <vt:i4>5</vt:i4>
      </vt:variant>
      <vt:variant>
        <vt:lpwstr/>
      </vt:variant>
      <vt:variant>
        <vt:lpwstr>_Toc361741817</vt:lpwstr>
      </vt:variant>
      <vt:variant>
        <vt:i4>1441854</vt:i4>
      </vt:variant>
      <vt:variant>
        <vt:i4>44</vt:i4>
      </vt:variant>
      <vt:variant>
        <vt:i4>0</vt:i4>
      </vt:variant>
      <vt:variant>
        <vt:i4>5</vt:i4>
      </vt:variant>
      <vt:variant>
        <vt:lpwstr/>
      </vt:variant>
      <vt:variant>
        <vt:lpwstr>_Toc361741816</vt:lpwstr>
      </vt:variant>
      <vt:variant>
        <vt:i4>1441854</vt:i4>
      </vt:variant>
      <vt:variant>
        <vt:i4>38</vt:i4>
      </vt:variant>
      <vt:variant>
        <vt:i4>0</vt:i4>
      </vt:variant>
      <vt:variant>
        <vt:i4>5</vt:i4>
      </vt:variant>
      <vt:variant>
        <vt:lpwstr/>
      </vt:variant>
      <vt:variant>
        <vt:lpwstr>_Toc361741815</vt:lpwstr>
      </vt:variant>
      <vt:variant>
        <vt:i4>1441854</vt:i4>
      </vt:variant>
      <vt:variant>
        <vt:i4>32</vt:i4>
      </vt:variant>
      <vt:variant>
        <vt:i4>0</vt:i4>
      </vt:variant>
      <vt:variant>
        <vt:i4>5</vt:i4>
      </vt:variant>
      <vt:variant>
        <vt:lpwstr/>
      </vt:variant>
      <vt:variant>
        <vt:lpwstr>_Toc361741814</vt:lpwstr>
      </vt:variant>
      <vt:variant>
        <vt:i4>1441854</vt:i4>
      </vt:variant>
      <vt:variant>
        <vt:i4>26</vt:i4>
      </vt:variant>
      <vt:variant>
        <vt:i4>0</vt:i4>
      </vt:variant>
      <vt:variant>
        <vt:i4>5</vt:i4>
      </vt:variant>
      <vt:variant>
        <vt:lpwstr/>
      </vt:variant>
      <vt:variant>
        <vt:lpwstr>_Toc361741813</vt:lpwstr>
      </vt:variant>
      <vt:variant>
        <vt:i4>1441854</vt:i4>
      </vt:variant>
      <vt:variant>
        <vt:i4>20</vt:i4>
      </vt:variant>
      <vt:variant>
        <vt:i4>0</vt:i4>
      </vt:variant>
      <vt:variant>
        <vt:i4>5</vt:i4>
      </vt:variant>
      <vt:variant>
        <vt:lpwstr/>
      </vt:variant>
      <vt:variant>
        <vt:lpwstr>_Toc361741812</vt:lpwstr>
      </vt:variant>
      <vt:variant>
        <vt:i4>1441854</vt:i4>
      </vt:variant>
      <vt:variant>
        <vt:i4>14</vt:i4>
      </vt:variant>
      <vt:variant>
        <vt:i4>0</vt:i4>
      </vt:variant>
      <vt:variant>
        <vt:i4>5</vt:i4>
      </vt:variant>
      <vt:variant>
        <vt:lpwstr/>
      </vt:variant>
      <vt:variant>
        <vt:lpwstr>_Toc361741811</vt:lpwstr>
      </vt:variant>
      <vt:variant>
        <vt:i4>1441854</vt:i4>
      </vt:variant>
      <vt:variant>
        <vt:i4>8</vt:i4>
      </vt:variant>
      <vt:variant>
        <vt:i4>0</vt:i4>
      </vt:variant>
      <vt:variant>
        <vt:i4>5</vt:i4>
      </vt:variant>
      <vt:variant>
        <vt:lpwstr/>
      </vt:variant>
      <vt:variant>
        <vt:lpwstr>_Toc361741810</vt:lpwstr>
      </vt:variant>
      <vt:variant>
        <vt:i4>262215</vt:i4>
      </vt:variant>
      <vt:variant>
        <vt:i4>3</vt:i4>
      </vt:variant>
      <vt:variant>
        <vt:i4>0</vt:i4>
      </vt:variant>
      <vt:variant>
        <vt:i4>5</vt:i4>
      </vt:variant>
      <vt:variant>
        <vt:lpwstr>http://www.milieu.be/</vt:lpwstr>
      </vt:variant>
      <vt:variant>
        <vt:lpwstr/>
      </vt:variant>
      <vt:variant>
        <vt:i4>5636145</vt:i4>
      </vt:variant>
      <vt:variant>
        <vt:i4>0</vt:i4>
      </vt:variant>
      <vt:variant>
        <vt:i4>0</vt:i4>
      </vt:variant>
      <vt:variant>
        <vt:i4>5</vt:i4>
      </vt:variant>
      <vt:variant>
        <vt:lpwstr>mailto:julia.lietzmann@milieu.be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Eva Limburska</dc:creator>
  <cp:lastModifiedBy>Emma</cp:lastModifiedBy>
  <cp:revision>2</cp:revision>
  <cp:lastPrinted>2018-04-18T14:21:00Z</cp:lastPrinted>
  <dcterms:created xsi:type="dcterms:W3CDTF">2018-06-26T06:47:00Z</dcterms:created>
  <dcterms:modified xsi:type="dcterms:W3CDTF">2018-06-26T06:47:00Z</dcterms:modified>
</cp:coreProperties>
</file>